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7BA" w:rsidRPr="00DE7A21" w:rsidRDefault="00907451" w:rsidP="00DE7A21">
      <w:pPr>
        <w:spacing w:before="240" w:after="240" w:line="360" w:lineRule="auto"/>
        <w:jc w:val="both"/>
        <w:rPr>
          <w:rFonts w:ascii="Palatino Linotype" w:hAnsi="Palatino Linotype"/>
          <w:b/>
          <w:sz w:val="24"/>
          <w:szCs w:val="24"/>
        </w:rPr>
      </w:pPr>
      <w:r w:rsidRPr="00DE7A21">
        <w:rPr>
          <w:rFonts w:ascii="Palatino Linotype" w:hAnsi="Palatino Linotype"/>
          <w:b/>
          <w:sz w:val="24"/>
          <w:szCs w:val="24"/>
        </w:rPr>
        <w:t>VOTO</w:t>
      </w:r>
      <w:r w:rsidR="000607BA" w:rsidRPr="00DE7A21">
        <w:rPr>
          <w:rFonts w:ascii="Palatino Linotype" w:hAnsi="Palatino Linotype"/>
          <w:b/>
          <w:sz w:val="24"/>
          <w:szCs w:val="24"/>
        </w:rPr>
        <w:t xml:space="preserve"> PARTICULAR QUE FORMULA </w:t>
      </w:r>
      <w:r w:rsidR="003F066F" w:rsidRPr="00DE7A21">
        <w:rPr>
          <w:rFonts w:ascii="Palatino Linotype" w:hAnsi="Palatino Linotype"/>
          <w:b/>
          <w:sz w:val="24"/>
          <w:szCs w:val="24"/>
        </w:rPr>
        <w:t>EL C</w:t>
      </w:r>
      <w:r w:rsidR="00B438A9" w:rsidRPr="00DE7A21">
        <w:rPr>
          <w:rFonts w:ascii="Palatino Linotype" w:hAnsi="Palatino Linotype"/>
          <w:b/>
          <w:sz w:val="24"/>
          <w:szCs w:val="24"/>
        </w:rPr>
        <w:t>OMISIONADO JAVIER MARTÍNEZ CRUZ</w:t>
      </w:r>
      <w:r w:rsidR="000607BA" w:rsidRPr="00DE7A21">
        <w:rPr>
          <w:rFonts w:ascii="Palatino Linotype" w:hAnsi="Palatino Linotype"/>
          <w:b/>
          <w:sz w:val="24"/>
          <w:szCs w:val="24"/>
        </w:rPr>
        <w:t xml:space="preserve">, EN RELACIÓN CON LA RESOLUCIÓN DICTADA POR EL PLENO DEL INSTITUTO DE TRANSPARENCIA, ACCESO A LA INFORMACIÓN PÚBLICA Y PROTECCIÓN DE DATOS PERSONALES DEL ESTADO DE MÉXICO Y MUNICIPIOS, EN LA </w:t>
      </w:r>
      <w:r w:rsidR="009016C0" w:rsidRPr="009016C0">
        <w:rPr>
          <w:rFonts w:ascii="Palatino Linotype" w:hAnsi="Palatino Linotype"/>
          <w:b/>
          <w:sz w:val="24"/>
          <w:szCs w:val="24"/>
        </w:rPr>
        <w:t>CUADRAGÉSIMA SEXTA SESIÓN ORDINARIA CELEBRADA EL DOCE DE DICIEMBRE DE DOS MIL DIECIOCHO</w:t>
      </w:r>
      <w:r w:rsidR="000607BA" w:rsidRPr="00DE7A21">
        <w:rPr>
          <w:rFonts w:ascii="Palatino Linotype" w:hAnsi="Palatino Linotype"/>
          <w:b/>
          <w:sz w:val="24"/>
          <w:szCs w:val="24"/>
        </w:rPr>
        <w:t xml:space="preserve">, EN </w:t>
      </w:r>
      <w:r w:rsidR="009016C0">
        <w:rPr>
          <w:rFonts w:ascii="Palatino Linotype" w:hAnsi="Palatino Linotype"/>
          <w:b/>
          <w:sz w:val="24"/>
          <w:szCs w:val="24"/>
        </w:rPr>
        <w:t xml:space="preserve">EL </w:t>
      </w:r>
      <w:r w:rsidR="000607BA" w:rsidRPr="00DE7A21">
        <w:rPr>
          <w:rFonts w:ascii="Palatino Linotype" w:hAnsi="Palatino Linotype"/>
          <w:b/>
          <w:sz w:val="24"/>
          <w:szCs w:val="24"/>
        </w:rPr>
        <w:t>RECURSO</w:t>
      </w:r>
      <w:r w:rsidR="00A6063F">
        <w:rPr>
          <w:rFonts w:ascii="Palatino Linotype" w:hAnsi="Palatino Linotype"/>
          <w:b/>
          <w:sz w:val="24"/>
          <w:szCs w:val="24"/>
        </w:rPr>
        <w:t>S</w:t>
      </w:r>
      <w:r w:rsidR="000607BA" w:rsidRPr="00DE7A21">
        <w:rPr>
          <w:rFonts w:ascii="Palatino Linotype" w:hAnsi="Palatino Linotype"/>
          <w:b/>
          <w:sz w:val="24"/>
          <w:szCs w:val="24"/>
        </w:rPr>
        <w:t xml:space="preserve"> DE REVISIÓN 0</w:t>
      </w:r>
      <w:r w:rsidR="009016C0">
        <w:rPr>
          <w:rFonts w:ascii="Palatino Linotype" w:hAnsi="Palatino Linotype"/>
          <w:b/>
          <w:sz w:val="24"/>
          <w:szCs w:val="24"/>
        </w:rPr>
        <w:t>3932</w:t>
      </w:r>
      <w:r w:rsidR="000607BA" w:rsidRPr="00DE7A21">
        <w:rPr>
          <w:rFonts w:ascii="Palatino Linotype" w:hAnsi="Palatino Linotype"/>
          <w:b/>
          <w:sz w:val="24"/>
          <w:szCs w:val="24"/>
        </w:rPr>
        <w:t>/INFOEM/IP/RR/201</w:t>
      </w:r>
      <w:r w:rsidR="009016C0">
        <w:rPr>
          <w:rFonts w:ascii="Palatino Linotype" w:hAnsi="Palatino Linotype"/>
          <w:b/>
          <w:sz w:val="24"/>
          <w:szCs w:val="24"/>
        </w:rPr>
        <w:t>8.</w:t>
      </w:r>
    </w:p>
    <w:p w:rsidR="001878F3" w:rsidRPr="00DE7A21" w:rsidRDefault="000607BA" w:rsidP="00DE7A21">
      <w:pPr>
        <w:spacing w:before="240" w:after="240" w:line="360" w:lineRule="auto"/>
        <w:jc w:val="both"/>
        <w:rPr>
          <w:rFonts w:ascii="Palatino Linotype" w:hAnsi="Palatino Linotype"/>
          <w:sz w:val="24"/>
          <w:szCs w:val="24"/>
        </w:rPr>
      </w:pPr>
      <w:r w:rsidRPr="00DE7A21">
        <w:rPr>
          <w:rFonts w:ascii="Palatino Linotype" w:hAnsi="Palatino Linotype"/>
          <w:sz w:val="24"/>
          <w:szCs w:val="24"/>
        </w:rPr>
        <w:t xml:space="preserve">Con fundamento en lo dispuesto por el artículo </w:t>
      </w:r>
      <w:r w:rsidR="001E420C" w:rsidRPr="00DE7A21">
        <w:rPr>
          <w:rFonts w:ascii="Palatino Linotype" w:hAnsi="Palatino Linotype"/>
          <w:sz w:val="24"/>
          <w:szCs w:val="24"/>
        </w:rPr>
        <w:t xml:space="preserve">14 fracciones X y </w:t>
      </w:r>
      <w:r w:rsidR="00B438A9" w:rsidRPr="00DE7A21">
        <w:rPr>
          <w:rFonts w:ascii="Palatino Linotype" w:hAnsi="Palatino Linotype"/>
          <w:sz w:val="24"/>
          <w:szCs w:val="24"/>
        </w:rPr>
        <w:t xml:space="preserve">XI </w:t>
      </w:r>
      <w:r w:rsidRPr="00DE7A21">
        <w:rPr>
          <w:rFonts w:ascii="Palatino Linotype" w:hAnsi="Palatino Linotype"/>
          <w:sz w:val="24"/>
          <w:szCs w:val="24"/>
        </w:rPr>
        <w:t xml:space="preserve">del Reglamento Interior del Instituto de Transparencia, Acceso a la Información Pública y Protección de Datos Personales del Estado de México y Municipios, </w:t>
      </w:r>
      <w:r w:rsidR="002634B7" w:rsidRPr="00DE7A21">
        <w:rPr>
          <w:rFonts w:ascii="Palatino Linotype" w:hAnsi="Palatino Linotype"/>
          <w:sz w:val="24"/>
          <w:szCs w:val="24"/>
        </w:rPr>
        <w:t>el</w:t>
      </w:r>
      <w:r w:rsidRPr="00DE7A21">
        <w:rPr>
          <w:rFonts w:ascii="Palatino Linotype" w:hAnsi="Palatino Linotype"/>
          <w:sz w:val="24"/>
          <w:szCs w:val="24"/>
        </w:rPr>
        <w:t xml:space="preserve"> Comisionad</w:t>
      </w:r>
      <w:r w:rsidR="006C34A1" w:rsidRPr="00DE7A21">
        <w:rPr>
          <w:rFonts w:ascii="Palatino Linotype" w:hAnsi="Palatino Linotype"/>
          <w:sz w:val="24"/>
          <w:szCs w:val="24"/>
        </w:rPr>
        <w:t>o Javier Martínez Cruz</w:t>
      </w:r>
      <w:r w:rsidR="003F066F" w:rsidRPr="00DE7A21">
        <w:rPr>
          <w:rFonts w:ascii="Palatino Linotype" w:hAnsi="Palatino Linotype"/>
          <w:sz w:val="24"/>
          <w:szCs w:val="24"/>
        </w:rPr>
        <w:t xml:space="preserve"> </w:t>
      </w:r>
      <w:r w:rsidRPr="00DE7A21">
        <w:rPr>
          <w:rFonts w:ascii="Palatino Linotype" w:hAnsi="Palatino Linotype"/>
          <w:sz w:val="24"/>
          <w:szCs w:val="24"/>
        </w:rPr>
        <w:t xml:space="preserve">emite </w:t>
      </w:r>
      <w:r w:rsidR="006C34A1" w:rsidRPr="00C33457">
        <w:rPr>
          <w:rFonts w:ascii="Palatino Linotype" w:hAnsi="Palatino Linotype"/>
          <w:b/>
          <w:sz w:val="24"/>
          <w:szCs w:val="24"/>
        </w:rPr>
        <w:t>VOTO</w:t>
      </w:r>
      <w:r w:rsidRPr="00C33457">
        <w:rPr>
          <w:rFonts w:ascii="Palatino Linotype" w:hAnsi="Palatino Linotype"/>
          <w:b/>
          <w:sz w:val="24"/>
          <w:szCs w:val="24"/>
        </w:rPr>
        <w:t xml:space="preserve"> PARTICULAR</w:t>
      </w:r>
      <w:r w:rsidR="006C34A1" w:rsidRPr="00DE7A21">
        <w:rPr>
          <w:rFonts w:ascii="Palatino Linotype" w:hAnsi="Palatino Linotype"/>
          <w:sz w:val="24"/>
          <w:szCs w:val="24"/>
        </w:rPr>
        <w:t xml:space="preserve"> </w:t>
      </w:r>
      <w:r w:rsidRPr="00DE7A21">
        <w:rPr>
          <w:rFonts w:ascii="Palatino Linotype" w:hAnsi="Palatino Linotype"/>
          <w:sz w:val="24"/>
          <w:szCs w:val="24"/>
        </w:rPr>
        <w:t xml:space="preserve">respecto a la resolución dictada en el recurso de revisión número </w:t>
      </w:r>
      <w:r w:rsidR="00B02DEB" w:rsidRPr="008110D1">
        <w:rPr>
          <w:rFonts w:ascii="Palatino Linotype" w:hAnsi="Palatino Linotype"/>
          <w:b/>
          <w:sz w:val="24"/>
          <w:szCs w:val="24"/>
        </w:rPr>
        <w:t>0</w:t>
      </w:r>
      <w:r w:rsidR="009016C0" w:rsidRPr="008110D1">
        <w:rPr>
          <w:rFonts w:ascii="Palatino Linotype" w:hAnsi="Palatino Linotype"/>
          <w:b/>
          <w:sz w:val="24"/>
          <w:szCs w:val="24"/>
        </w:rPr>
        <w:t>3932</w:t>
      </w:r>
      <w:r w:rsidRPr="008110D1">
        <w:rPr>
          <w:rFonts w:ascii="Palatino Linotype" w:hAnsi="Palatino Linotype"/>
          <w:b/>
          <w:sz w:val="24"/>
          <w:szCs w:val="24"/>
        </w:rPr>
        <w:t>/INFOEM/IP/RR/201</w:t>
      </w:r>
      <w:r w:rsidR="009016C0" w:rsidRPr="008110D1">
        <w:rPr>
          <w:rFonts w:ascii="Palatino Linotype" w:hAnsi="Palatino Linotype"/>
          <w:b/>
          <w:sz w:val="24"/>
          <w:szCs w:val="24"/>
        </w:rPr>
        <w:t>8</w:t>
      </w:r>
      <w:r w:rsidRPr="00DE7A21">
        <w:rPr>
          <w:rFonts w:ascii="Palatino Linotype" w:hAnsi="Palatino Linotype"/>
          <w:sz w:val="24"/>
          <w:szCs w:val="24"/>
        </w:rPr>
        <w:t>, pronunciada por el Pleno de este Instituto ante el proyecto presentado por</w:t>
      </w:r>
      <w:r w:rsidR="00C33457">
        <w:rPr>
          <w:rFonts w:ascii="Palatino Linotype" w:hAnsi="Palatino Linotype"/>
          <w:sz w:val="24"/>
          <w:szCs w:val="24"/>
        </w:rPr>
        <w:t xml:space="preserve"> </w:t>
      </w:r>
      <w:r w:rsidR="00B64FB9">
        <w:rPr>
          <w:rFonts w:ascii="Palatino Linotype" w:hAnsi="Palatino Linotype"/>
          <w:sz w:val="24"/>
          <w:szCs w:val="24"/>
        </w:rPr>
        <w:t>la</w:t>
      </w:r>
      <w:r w:rsidR="00C33457">
        <w:rPr>
          <w:rFonts w:ascii="Palatino Linotype" w:hAnsi="Palatino Linotype"/>
          <w:sz w:val="24"/>
          <w:szCs w:val="24"/>
        </w:rPr>
        <w:t xml:space="preserve"> </w:t>
      </w:r>
      <w:r w:rsidR="00B64FB9">
        <w:rPr>
          <w:rFonts w:ascii="Palatino Linotype" w:hAnsi="Palatino Linotype"/>
          <w:sz w:val="24"/>
          <w:szCs w:val="24"/>
        </w:rPr>
        <w:t>Comisionada</w:t>
      </w:r>
      <w:r w:rsidR="00872B6F">
        <w:rPr>
          <w:rFonts w:ascii="Palatino Linotype" w:hAnsi="Palatino Linotype"/>
          <w:sz w:val="24"/>
          <w:szCs w:val="24"/>
        </w:rPr>
        <w:t xml:space="preserve"> </w:t>
      </w:r>
      <w:r w:rsidR="00B64FB9">
        <w:rPr>
          <w:rFonts w:ascii="Palatino Linotype" w:hAnsi="Palatino Linotype"/>
          <w:sz w:val="24"/>
          <w:szCs w:val="24"/>
        </w:rPr>
        <w:t xml:space="preserve">Eva </w:t>
      </w:r>
      <w:proofErr w:type="spellStart"/>
      <w:r w:rsidR="00B64FB9">
        <w:rPr>
          <w:rFonts w:ascii="Palatino Linotype" w:hAnsi="Palatino Linotype"/>
          <w:sz w:val="24"/>
          <w:szCs w:val="24"/>
        </w:rPr>
        <w:t>Avaid</w:t>
      </w:r>
      <w:proofErr w:type="spellEnd"/>
      <w:r w:rsidR="00B64FB9">
        <w:rPr>
          <w:rFonts w:ascii="Palatino Linotype" w:hAnsi="Palatino Linotype"/>
          <w:sz w:val="24"/>
          <w:szCs w:val="24"/>
        </w:rPr>
        <w:t xml:space="preserve"> </w:t>
      </w:r>
      <w:proofErr w:type="spellStart"/>
      <w:r w:rsidR="00B64FB9">
        <w:rPr>
          <w:rFonts w:ascii="Palatino Linotype" w:hAnsi="Palatino Linotype"/>
          <w:sz w:val="24"/>
          <w:szCs w:val="24"/>
        </w:rPr>
        <w:t>Yapur</w:t>
      </w:r>
      <w:proofErr w:type="spellEnd"/>
      <w:r w:rsidR="00872B6F">
        <w:rPr>
          <w:rFonts w:ascii="Palatino Linotype" w:hAnsi="Palatino Linotype"/>
          <w:sz w:val="24"/>
          <w:szCs w:val="24"/>
        </w:rPr>
        <w:t xml:space="preserve">, </w:t>
      </w:r>
      <w:r w:rsidRPr="00DE7A21">
        <w:rPr>
          <w:rFonts w:ascii="Palatino Linotype" w:hAnsi="Palatino Linotype"/>
          <w:sz w:val="24"/>
          <w:szCs w:val="24"/>
        </w:rPr>
        <w:t xml:space="preserve">que es del tenor siguiente: </w:t>
      </w:r>
    </w:p>
    <w:p w:rsidR="007E75F7" w:rsidRDefault="00AA6F6A" w:rsidP="00BA462E">
      <w:pPr>
        <w:spacing w:before="240" w:after="240" w:line="360" w:lineRule="auto"/>
        <w:ind w:right="-3"/>
        <w:jc w:val="both"/>
        <w:rPr>
          <w:rFonts w:ascii="Palatino Linotype" w:hAnsi="Palatino Linotype" w:cs="Arial"/>
          <w:sz w:val="24"/>
          <w:szCs w:val="24"/>
        </w:rPr>
      </w:pPr>
      <w:r w:rsidRPr="00DE7A21">
        <w:rPr>
          <w:rFonts w:ascii="Palatino Linotype" w:eastAsia="Calibri" w:hAnsi="Palatino Linotype" w:cs="Arial"/>
          <w:sz w:val="24"/>
          <w:szCs w:val="24"/>
          <w:lang w:eastAsia="es-MX"/>
        </w:rPr>
        <w:t>E</w:t>
      </w:r>
      <w:r w:rsidRPr="00DE7A21">
        <w:rPr>
          <w:rFonts w:ascii="Palatino Linotype" w:hAnsi="Palatino Linotype"/>
          <w:sz w:val="24"/>
          <w:szCs w:val="24"/>
        </w:rPr>
        <w:t xml:space="preserve">n la sesión del </w:t>
      </w:r>
      <w:r w:rsidR="00872B6F">
        <w:rPr>
          <w:rFonts w:ascii="Palatino Linotype" w:hAnsi="Palatino Linotype"/>
          <w:sz w:val="24"/>
          <w:szCs w:val="24"/>
        </w:rPr>
        <w:t xml:space="preserve">día </w:t>
      </w:r>
      <w:r w:rsidR="00B64FB9">
        <w:rPr>
          <w:rFonts w:ascii="Palatino Linotype" w:hAnsi="Palatino Linotype"/>
          <w:sz w:val="24"/>
          <w:szCs w:val="24"/>
        </w:rPr>
        <w:t xml:space="preserve">doce de diciembre </w:t>
      </w:r>
      <w:r w:rsidRPr="00DE7A21">
        <w:rPr>
          <w:rFonts w:ascii="Palatino Linotype" w:hAnsi="Palatino Linotype"/>
          <w:sz w:val="24"/>
          <w:szCs w:val="24"/>
        </w:rPr>
        <w:t xml:space="preserve">del presente año, los integrantes del Pleno de este Instituto aprobaron </w:t>
      </w:r>
      <w:r w:rsidRPr="00872B6F">
        <w:rPr>
          <w:rFonts w:ascii="Palatino Linotype" w:hAnsi="Palatino Linotype"/>
          <w:b/>
          <w:sz w:val="24"/>
          <w:szCs w:val="24"/>
        </w:rPr>
        <w:t>MODIFICAR</w:t>
      </w:r>
      <w:r w:rsidRPr="00DE7A21">
        <w:rPr>
          <w:rFonts w:ascii="Palatino Linotype" w:hAnsi="Palatino Linotype"/>
          <w:sz w:val="24"/>
          <w:szCs w:val="24"/>
        </w:rPr>
        <w:t xml:space="preserve"> la respuesta</w:t>
      </w:r>
      <w:r w:rsidR="001714A3">
        <w:rPr>
          <w:rFonts w:ascii="Palatino Linotype" w:hAnsi="Palatino Linotype"/>
          <w:sz w:val="24"/>
          <w:szCs w:val="24"/>
        </w:rPr>
        <w:t xml:space="preserve"> del Sujeto O</w:t>
      </w:r>
      <w:r w:rsidRPr="00DE7A21">
        <w:rPr>
          <w:rFonts w:ascii="Palatino Linotype" w:hAnsi="Palatino Linotype"/>
          <w:sz w:val="24"/>
          <w:szCs w:val="24"/>
        </w:rPr>
        <w:t xml:space="preserve">bligado </w:t>
      </w:r>
      <w:r w:rsidR="0048681D">
        <w:rPr>
          <w:rFonts w:ascii="Palatino Linotype" w:hAnsi="Palatino Linotype"/>
          <w:sz w:val="24"/>
          <w:szCs w:val="24"/>
        </w:rPr>
        <w:t>ajustándose al Considerando Quinto de la resolución en los siguientes términos</w:t>
      </w:r>
      <w:r w:rsidR="007E75F7">
        <w:rPr>
          <w:rFonts w:ascii="Palatino Linotype" w:hAnsi="Palatino Linotype" w:cs="Arial"/>
          <w:sz w:val="24"/>
          <w:szCs w:val="24"/>
        </w:rPr>
        <w:t xml:space="preserve">: </w:t>
      </w:r>
    </w:p>
    <w:p w:rsidR="0048681D" w:rsidRPr="0048681D" w:rsidRDefault="00602FA0" w:rsidP="0048681D">
      <w:pPr>
        <w:widowControl w:val="0"/>
        <w:autoSpaceDE w:val="0"/>
        <w:autoSpaceDN w:val="0"/>
        <w:adjustRightInd w:val="0"/>
        <w:spacing w:before="240" w:after="240" w:line="360" w:lineRule="auto"/>
        <w:jc w:val="both"/>
        <w:rPr>
          <w:rFonts w:ascii="Palatino Linotype" w:hAnsi="Palatino Linotype" w:cs="Arial"/>
          <w:sz w:val="24"/>
        </w:rPr>
      </w:pPr>
      <w:r>
        <w:rPr>
          <w:rFonts w:ascii="Palatino Linotype" w:hAnsi="Palatino Linotype" w:cs="Arial"/>
          <w:sz w:val="24"/>
          <w:szCs w:val="24"/>
        </w:rPr>
        <w:t xml:space="preserve"> </w:t>
      </w:r>
      <w:r w:rsidRPr="00AD073A">
        <w:rPr>
          <w:rFonts w:ascii="Palatino Linotype" w:hAnsi="Palatino Linotype" w:cs="Arial"/>
          <w:i/>
          <w:sz w:val="24"/>
          <w:szCs w:val="24"/>
        </w:rPr>
        <w:t>“</w:t>
      </w:r>
      <w:r w:rsidR="00BF6238" w:rsidRPr="00AD073A">
        <w:rPr>
          <w:rFonts w:ascii="Palatino Linotype" w:hAnsi="Palatino Linotype" w:cs="Arial"/>
          <w:b/>
          <w:i/>
          <w:sz w:val="24"/>
          <w:szCs w:val="24"/>
        </w:rPr>
        <w:t>SEGUNDO</w:t>
      </w:r>
      <w:r w:rsidR="0048681D">
        <w:rPr>
          <w:rFonts w:ascii="Palatino Linotype" w:hAnsi="Palatino Linotype" w:cs="Arial"/>
        </w:rPr>
        <w:t xml:space="preserve">. </w:t>
      </w:r>
      <w:r w:rsidR="0048681D" w:rsidRPr="0048681D">
        <w:rPr>
          <w:rFonts w:ascii="Palatino Linotype" w:hAnsi="Palatino Linotype" w:cs="Arial"/>
          <w:sz w:val="24"/>
        </w:rPr>
        <w:t>Se</w:t>
      </w:r>
      <w:r w:rsidR="0048681D" w:rsidRPr="0048681D">
        <w:rPr>
          <w:rFonts w:ascii="Palatino Linotype" w:hAnsi="Palatino Linotype" w:cs="Arial"/>
          <w:b/>
          <w:sz w:val="24"/>
        </w:rPr>
        <w:t xml:space="preserve"> MODIFICA </w:t>
      </w:r>
      <w:r w:rsidR="0048681D" w:rsidRPr="0048681D">
        <w:rPr>
          <w:rFonts w:ascii="Palatino Linotype" w:hAnsi="Palatino Linotype" w:cs="Arial"/>
          <w:sz w:val="24"/>
        </w:rPr>
        <w:t xml:space="preserve">la respuesta del </w:t>
      </w:r>
      <w:r w:rsidR="0048681D" w:rsidRPr="0048681D">
        <w:rPr>
          <w:rFonts w:ascii="Palatino Linotype" w:hAnsi="Palatino Linotype" w:cs="Arial"/>
          <w:b/>
          <w:sz w:val="24"/>
        </w:rPr>
        <w:t>SUJETO OBLIGADO</w:t>
      </w:r>
      <w:r w:rsidR="0048681D" w:rsidRPr="0048681D">
        <w:rPr>
          <w:rFonts w:ascii="Palatino Linotype" w:hAnsi="Palatino Linotype" w:cs="Arial"/>
          <w:sz w:val="24"/>
        </w:rPr>
        <w:t xml:space="preserve"> y se le </w:t>
      </w:r>
      <w:r w:rsidR="0048681D" w:rsidRPr="0048681D">
        <w:rPr>
          <w:rFonts w:ascii="Palatino Linotype" w:hAnsi="Palatino Linotype" w:cs="Arial"/>
          <w:b/>
          <w:sz w:val="24"/>
        </w:rPr>
        <w:t>ordena</w:t>
      </w:r>
      <w:r w:rsidR="0048681D" w:rsidRPr="0048681D">
        <w:rPr>
          <w:rFonts w:ascii="Palatino Linotype" w:hAnsi="Palatino Linotype" w:cs="Arial"/>
          <w:sz w:val="24"/>
        </w:rPr>
        <w:t xml:space="preserve"> atienda la solicitud de información </w:t>
      </w:r>
      <w:r w:rsidR="0048681D" w:rsidRPr="0048681D">
        <w:rPr>
          <w:rFonts w:ascii="Palatino Linotype" w:hAnsi="Palatino Linotype" w:cs="Arial"/>
          <w:b/>
          <w:sz w:val="24"/>
        </w:rPr>
        <w:t>00412/TOLUCA/IP/2018,</w:t>
      </w:r>
      <w:r w:rsidR="0048681D" w:rsidRPr="0048681D">
        <w:rPr>
          <w:rFonts w:ascii="Palatino Linotype" w:hAnsi="Palatino Linotype" w:cs="Arial"/>
          <w:sz w:val="24"/>
        </w:rPr>
        <w:t xml:space="preserve"> </w:t>
      </w:r>
      <w:r w:rsidR="0048681D" w:rsidRPr="0048681D">
        <w:rPr>
          <w:rFonts w:ascii="Palatino Linotype" w:hAnsi="Palatino Linotype" w:cs="Arial"/>
          <w:color w:val="222222"/>
          <w:sz w:val="24"/>
        </w:rPr>
        <w:t xml:space="preserve">en </w:t>
      </w:r>
      <w:r w:rsidR="0048681D" w:rsidRPr="0048681D">
        <w:rPr>
          <w:rFonts w:ascii="Palatino Linotype" w:hAnsi="Palatino Linotype" w:cs="Arial"/>
          <w:sz w:val="24"/>
        </w:rPr>
        <w:t>términos</w:t>
      </w:r>
      <w:r w:rsidR="0048681D" w:rsidRPr="0048681D">
        <w:rPr>
          <w:rFonts w:ascii="Palatino Linotype" w:hAnsi="Palatino Linotype" w:cs="Arial"/>
          <w:color w:val="222222"/>
          <w:sz w:val="24"/>
        </w:rPr>
        <w:t xml:space="preserve"> del Considerando </w:t>
      </w:r>
      <w:r w:rsidR="0048681D" w:rsidRPr="0048681D">
        <w:rPr>
          <w:rFonts w:ascii="Palatino Linotype" w:hAnsi="Palatino Linotype" w:cs="Arial"/>
          <w:b/>
          <w:color w:val="222222"/>
          <w:sz w:val="24"/>
        </w:rPr>
        <w:t>QUINTO</w:t>
      </w:r>
      <w:r w:rsidR="0048681D" w:rsidRPr="0048681D">
        <w:rPr>
          <w:rFonts w:ascii="Palatino Linotype" w:hAnsi="Palatino Linotype" w:cs="Arial"/>
          <w:color w:val="222222"/>
          <w:sz w:val="24"/>
        </w:rPr>
        <w:t xml:space="preserve"> de la presente resolución, </w:t>
      </w:r>
      <w:r w:rsidR="0048681D" w:rsidRPr="0048681D">
        <w:rPr>
          <w:rFonts w:ascii="Palatino Linotype" w:hAnsi="Palatino Linotype" w:cs="Arial"/>
          <w:sz w:val="24"/>
        </w:rPr>
        <w:t xml:space="preserve">entregue al </w:t>
      </w:r>
      <w:r w:rsidR="0048681D" w:rsidRPr="0048681D">
        <w:rPr>
          <w:rFonts w:ascii="Palatino Linotype" w:hAnsi="Palatino Linotype" w:cs="Arial"/>
          <w:b/>
          <w:sz w:val="24"/>
        </w:rPr>
        <w:t xml:space="preserve">RECURRENTE vía </w:t>
      </w:r>
      <w:r w:rsidR="0048681D" w:rsidRPr="0048681D">
        <w:rPr>
          <w:rFonts w:ascii="Palatino Linotype" w:hAnsi="Palatino Linotype" w:cs="Arial"/>
          <w:b/>
          <w:sz w:val="24"/>
        </w:rPr>
        <w:lastRenderedPageBreak/>
        <w:t>SAIMEX</w:t>
      </w:r>
      <w:r w:rsidR="0048681D" w:rsidRPr="0048681D">
        <w:rPr>
          <w:rFonts w:ascii="Palatino Linotype" w:hAnsi="Palatino Linotype" w:cs="Arial"/>
          <w:sz w:val="24"/>
        </w:rPr>
        <w:t xml:space="preserve"> lo siguiente:</w:t>
      </w:r>
    </w:p>
    <w:p w:rsidR="0048681D" w:rsidRPr="0048681D" w:rsidRDefault="0048681D" w:rsidP="0048681D">
      <w:pPr>
        <w:autoSpaceDE w:val="0"/>
        <w:autoSpaceDN w:val="0"/>
        <w:adjustRightInd w:val="0"/>
        <w:spacing w:before="240" w:after="240"/>
        <w:ind w:left="851" w:right="899"/>
        <w:jc w:val="both"/>
        <w:rPr>
          <w:rFonts w:ascii="Palatino Linotype" w:hAnsi="Palatino Linotype" w:cs="Arial"/>
          <w:i/>
          <w:sz w:val="24"/>
        </w:rPr>
      </w:pPr>
      <w:r w:rsidRPr="0048681D">
        <w:rPr>
          <w:rFonts w:ascii="Palatino Linotype" w:hAnsi="Palatino Linotype" w:cs="Arial"/>
          <w:b/>
          <w:i/>
          <w:sz w:val="24"/>
        </w:rPr>
        <w:t>“</w:t>
      </w:r>
      <w:r w:rsidRPr="0048681D">
        <w:rPr>
          <w:rFonts w:ascii="Palatino Linotype" w:hAnsi="Palatino Linotype" w:cs="Arial"/>
          <w:i/>
          <w:sz w:val="24"/>
        </w:rPr>
        <w:t>El Acuerdo que emita el Comité de Transparencia en el que se sustente de forma fundada y motivada la versión pública de los documentos entregados a través de la respuesta.</w:t>
      </w:r>
      <w:r w:rsidRPr="0048681D">
        <w:rPr>
          <w:rFonts w:ascii="Palatino Linotype" w:hAnsi="Palatino Linotype" w:cs="Arial"/>
          <w:b/>
          <w:i/>
          <w:sz w:val="24"/>
        </w:rPr>
        <w:t>”</w:t>
      </w:r>
    </w:p>
    <w:p w:rsidR="001714A3" w:rsidRDefault="001714A3" w:rsidP="0048681D">
      <w:pPr>
        <w:spacing w:before="240" w:after="240" w:line="360" w:lineRule="auto"/>
        <w:ind w:right="-3"/>
        <w:jc w:val="both"/>
        <w:rPr>
          <w:rFonts w:ascii="Palatino Linotype" w:hAnsi="Palatino Linotype"/>
          <w:sz w:val="24"/>
          <w:szCs w:val="24"/>
        </w:rPr>
      </w:pPr>
      <w:r w:rsidRPr="001714A3">
        <w:rPr>
          <w:rFonts w:ascii="Palatino Linotype" w:hAnsi="Palatino Linotype"/>
          <w:sz w:val="24"/>
          <w:szCs w:val="24"/>
        </w:rPr>
        <w:t>El antecedente de dicha determinación lo constituye</w:t>
      </w:r>
      <w:r>
        <w:rPr>
          <w:rFonts w:ascii="Palatino Linotype" w:hAnsi="Palatino Linotype"/>
          <w:sz w:val="24"/>
          <w:szCs w:val="24"/>
        </w:rPr>
        <w:t xml:space="preserve">n </w:t>
      </w:r>
      <w:r w:rsidRPr="001714A3">
        <w:rPr>
          <w:rFonts w:ascii="Palatino Linotype" w:hAnsi="Palatino Linotype"/>
          <w:sz w:val="24"/>
          <w:szCs w:val="24"/>
        </w:rPr>
        <w:t xml:space="preserve"> la solicitud de información del hoy Recurrente</w:t>
      </w:r>
      <w:r w:rsidR="00307361">
        <w:rPr>
          <w:rFonts w:ascii="Palatino Linotype" w:hAnsi="Palatino Linotype"/>
          <w:sz w:val="24"/>
          <w:szCs w:val="24"/>
        </w:rPr>
        <w:t>,</w:t>
      </w:r>
      <w:r w:rsidRPr="001714A3">
        <w:rPr>
          <w:rFonts w:ascii="Palatino Linotype" w:hAnsi="Palatino Linotype"/>
          <w:sz w:val="24"/>
          <w:szCs w:val="24"/>
        </w:rPr>
        <w:t xml:space="preserve"> quien requirió del Sujeto Obligado</w:t>
      </w:r>
      <w:r>
        <w:rPr>
          <w:rFonts w:ascii="Palatino Linotype" w:hAnsi="Palatino Linotype"/>
          <w:sz w:val="24"/>
          <w:szCs w:val="24"/>
        </w:rPr>
        <w:t xml:space="preserve">, en lo que al presente estudio interesa, la información siguiente: </w:t>
      </w:r>
    </w:p>
    <w:p w:rsidR="001714A3" w:rsidRDefault="001714A3" w:rsidP="001714A3">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En la solicitud de información </w:t>
      </w:r>
      <w:r w:rsidR="0048681D" w:rsidRPr="000515C3">
        <w:rPr>
          <w:rFonts w:ascii="Palatino Linotype" w:hAnsi="Palatino Linotype" w:cs="Arial"/>
          <w:b/>
        </w:rPr>
        <w:t>00412/TOLUCA/IP/2018</w:t>
      </w:r>
      <w:r w:rsidRPr="001714A3">
        <w:rPr>
          <w:rFonts w:ascii="Palatino Linotype" w:hAnsi="Palatino Linotype"/>
          <w:sz w:val="24"/>
          <w:szCs w:val="24"/>
        </w:rPr>
        <w:t>:</w:t>
      </w:r>
    </w:p>
    <w:p w:rsidR="001714A3" w:rsidRPr="001714A3" w:rsidRDefault="001714A3" w:rsidP="007E75F7">
      <w:pPr>
        <w:spacing w:before="240" w:after="240" w:line="240" w:lineRule="auto"/>
        <w:ind w:left="851" w:right="990"/>
        <w:jc w:val="both"/>
        <w:rPr>
          <w:rFonts w:ascii="Palatino Linotype" w:hAnsi="Palatino Linotype"/>
          <w:i/>
          <w:sz w:val="24"/>
          <w:szCs w:val="24"/>
        </w:rPr>
      </w:pPr>
      <w:r w:rsidRPr="001714A3">
        <w:rPr>
          <w:rFonts w:ascii="Palatino Linotype" w:hAnsi="Palatino Linotype"/>
          <w:sz w:val="24"/>
          <w:szCs w:val="24"/>
        </w:rPr>
        <w:t xml:space="preserve"> </w:t>
      </w:r>
      <w:r w:rsidRPr="001714A3">
        <w:rPr>
          <w:rFonts w:ascii="Palatino Linotype" w:hAnsi="Palatino Linotype"/>
          <w:i/>
          <w:sz w:val="24"/>
          <w:szCs w:val="24"/>
        </w:rPr>
        <w:t>“</w:t>
      </w:r>
      <w:r w:rsidR="0048681D" w:rsidRPr="00BC63CA">
        <w:rPr>
          <w:rFonts w:ascii="Palatino Linotype" w:hAnsi="Palatino Linotype" w:cs="Arial"/>
          <w:i/>
          <w:lang w:eastAsia="es-MX"/>
        </w:rPr>
        <w:t xml:space="preserve">“Solicito el Currículum Vitae con documentación probatoria del C. Josafat </w:t>
      </w:r>
      <w:proofErr w:type="spellStart"/>
      <w:r w:rsidR="0048681D" w:rsidRPr="00BC63CA">
        <w:rPr>
          <w:rFonts w:ascii="Palatino Linotype" w:hAnsi="Palatino Linotype" w:cs="Arial"/>
          <w:i/>
          <w:lang w:eastAsia="es-MX"/>
        </w:rPr>
        <w:t>Valdéz</w:t>
      </w:r>
      <w:proofErr w:type="spellEnd"/>
      <w:r w:rsidR="0048681D" w:rsidRPr="00BC63CA">
        <w:rPr>
          <w:rFonts w:ascii="Palatino Linotype" w:hAnsi="Palatino Linotype" w:cs="Arial"/>
          <w:i/>
          <w:lang w:eastAsia="es-MX"/>
        </w:rPr>
        <w:t xml:space="preserve"> Martínez, quien se desempeña como Coordinador Municipal de Protección Civil del Municipio de Toluca. Así como copia de la documentación probatoria de los requisitos establecidos en los artículos 32 y 81 Bis de la Ley Orgánica Municipal"</w:t>
      </w:r>
      <w:r w:rsidRPr="001714A3">
        <w:rPr>
          <w:rFonts w:ascii="Palatino Linotype" w:hAnsi="Palatino Linotype"/>
          <w:i/>
          <w:sz w:val="24"/>
          <w:szCs w:val="24"/>
        </w:rPr>
        <w:t>”</w:t>
      </w:r>
    </w:p>
    <w:p w:rsidR="00453622" w:rsidRDefault="001714A3" w:rsidP="001714A3">
      <w:pPr>
        <w:spacing w:before="240" w:after="240" w:line="360" w:lineRule="auto"/>
        <w:jc w:val="both"/>
        <w:rPr>
          <w:rFonts w:ascii="Palatino Linotype" w:hAnsi="Palatino Linotype"/>
          <w:sz w:val="24"/>
          <w:szCs w:val="24"/>
        </w:rPr>
      </w:pPr>
      <w:r w:rsidRPr="001714A3">
        <w:rPr>
          <w:rFonts w:ascii="Palatino Linotype" w:hAnsi="Palatino Linotype"/>
          <w:sz w:val="24"/>
          <w:szCs w:val="24"/>
        </w:rPr>
        <w:t>En respuesta</w:t>
      </w:r>
      <w:r>
        <w:rPr>
          <w:rFonts w:ascii="Palatino Linotype" w:hAnsi="Palatino Linotype"/>
          <w:sz w:val="24"/>
          <w:szCs w:val="24"/>
        </w:rPr>
        <w:t xml:space="preserve">, </w:t>
      </w:r>
      <w:r w:rsidRPr="001714A3">
        <w:rPr>
          <w:rFonts w:ascii="Palatino Linotype" w:hAnsi="Palatino Linotype"/>
          <w:sz w:val="24"/>
          <w:szCs w:val="24"/>
        </w:rPr>
        <w:t xml:space="preserve">el Sujeto Obligado </w:t>
      </w:r>
      <w:r>
        <w:rPr>
          <w:rFonts w:ascii="Palatino Linotype" w:hAnsi="Palatino Linotype"/>
          <w:sz w:val="24"/>
          <w:szCs w:val="24"/>
        </w:rPr>
        <w:t xml:space="preserve">sustancialmente señaló: </w:t>
      </w:r>
    </w:p>
    <w:p w:rsidR="0048681D" w:rsidRPr="003705F5" w:rsidRDefault="0096627E" w:rsidP="007E75F7">
      <w:pPr>
        <w:spacing w:before="240" w:after="240" w:line="240" w:lineRule="auto"/>
        <w:ind w:left="851" w:right="990"/>
        <w:jc w:val="both"/>
        <w:rPr>
          <w:rFonts w:ascii="Palatino Linotype" w:hAnsi="Palatino Linotype"/>
          <w:i/>
          <w:color w:val="000000"/>
        </w:rPr>
      </w:pPr>
      <w:r w:rsidRPr="003705F5">
        <w:rPr>
          <w:rFonts w:ascii="Palatino Linotype" w:hAnsi="Palatino Linotype"/>
          <w:i/>
        </w:rPr>
        <w:t>“</w:t>
      </w:r>
      <w:r w:rsidR="0048681D" w:rsidRPr="003705F5">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DA5B01" w:rsidRPr="003705F5" w:rsidRDefault="0048681D" w:rsidP="0048681D">
      <w:pPr>
        <w:spacing w:before="240" w:after="240" w:line="240" w:lineRule="auto"/>
        <w:ind w:left="851" w:right="990"/>
        <w:jc w:val="both"/>
        <w:rPr>
          <w:rFonts w:ascii="Palatino Linotype" w:hAnsi="Palatino Linotype"/>
          <w:i/>
          <w:sz w:val="24"/>
          <w:szCs w:val="24"/>
        </w:rPr>
      </w:pPr>
      <w:r w:rsidRPr="003705F5">
        <w:rPr>
          <w:rFonts w:ascii="Palatino Linotype" w:hAnsi="Palatino Linotype"/>
          <w:i/>
          <w:color w:val="000000"/>
        </w:rPr>
        <w:t xml:space="preserve">Con fundamento en los artículos 4, 7, 23 fracción </w:t>
      </w:r>
      <w:proofErr w:type="spellStart"/>
      <w:r w:rsidRPr="003705F5">
        <w:rPr>
          <w:rFonts w:ascii="Palatino Linotype" w:hAnsi="Palatino Linotype"/>
          <w:i/>
          <w:color w:val="000000"/>
        </w:rPr>
        <w:t>lV</w:t>
      </w:r>
      <w:proofErr w:type="spellEnd"/>
      <w:r w:rsidRPr="003705F5">
        <w:rPr>
          <w:rFonts w:ascii="Palatino Linotype" w:hAnsi="Palatino Linotype"/>
          <w:i/>
          <w:color w:val="000000"/>
        </w:rPr>
        <w:t xml:space="preserve">, 53 fracciones ll, </w:t>
      </w:r>
      <w:proofErr w:type="spellStart"/>
      <w:r w:rsidRPr="003705F5">
        <w:rPr>
          <w:rFonts w:ascii="Palatino Linotype" w:hAnsi="Palatino Linotype"/>
          <w:i/>
          <w:color w:val="000000"/>
        </w:rPr>
        <w:t>lV</w:t>
      </w:r>
      <w:proofErr w:type="spellEnd"/>
      <w:r w:rsidRPr="003705F5">
        <w:rPr>
          <w:rFonts w:ascii="Palatino Linotype" w:hAnsi="Palatino Linotype"/>
          <w:i/>
          <w:color w:val="000000"/>
        </w:rPr>
        <w:t xml:space="preserve"> y V de la Ley de Transparencia y Acceso a la Información Pública del Estado de México y Municipios, y en atención a su solicitud 00412/TOLUCA/IP/2018 mediante la cual requiere: “Solicito el Currículum Vitae con documentación probatoria del C. Josafat </w:t>
      </w:r>
      <w:proofErr w:type="spellStart"/>
      <w:r w:rsidRPr="003705F5">
        <w:rPr>
          <w:rFonts w:ascii="Palatino Linotype" w:hAnsi="Palatino Linotype"/>
          <w:i/>
          <w:color w:val="000000"/>
        </w:rPr>
        <w:t>Valdéz</w:t>
      </w:r>
      <w:proofErr w:type="spellEnd"/>
      <w:r w:rsidRPr="003705F5">
        <w:rPr>
          <w:rFonts w:ascii="Palatino Linotype" w:hAnsi="Palatino Linotype"/>
          <w:i/>
          <w:color w:val="000000"/>
        </w:rPr>
        <w:t xml:space="preserve"> Martínez, quien se desempeña como Coordinador Municipal de Protección Civil del Municipio de Toluca. Así como copia de la documentación probatoria de los requisitos establecidos en los artículos 32 y 81 Bis de la Ley </w:t>
      </w:r>
      <w:r w:rsidRPr="003705F5">
        <w:rPr>
          <w:rFonts w:ascii="Palatino Linotype" w:hAnsi="Palatino Linotype"/>
          <w:i/>
          <w:color w:val="000000"/>
        </w:rPr>
        <w:lastRenderedPageBreak/>
        <w:t>Orgánica Municipal” Sic Al respecto, se adjunta oficio signado por la Subdirección de Recursos Humanos, así como los documentos solicitados. Cabe mencionar que se clasificaron documentos probatorios en la Décimo Tercera Sesión Extraordinaria del Comité de Transparencia. Sin más por el momento reciba un cordial saludo.</w:t>
      </w:r>
      <w:r w:rsidR="0096627E" w:rsidRPr="003705F5">
        <w:rPr>
          <w:rFonts w:ascii="Palatino Linotype" w:hAnsi="Palatino Linotype"/>
          <w:i/>
          <w:sz w:val="24"/>
          <w:szCs w:val="24"/>
        </w:rPr>
        <w:t>”</w:t>
      </w:r>
    </w:p>
    <w:p w:rsidR="001F2673" w:rsidRDefault="001714A3" w:rsidP="001714A3">
      <w:pPr>
        <w:spacing w:before="240" w:after="240" w:line="360" w:lineRule="auto"/>
        <w:jc w:val="both"/>
        <w:rPr>
          <w:rFonts w:ascii="Palatino Linotype" w:hAnsi="Palatino Linotype"/>
          <w:sz w:val="24"/>
          <w:szCs w:val="24"/>
        </w:rPr>
      </w:pPr>
      <w:r w:rsidRPr="001714A3">
        <w:rPr>
          <w:rFonts w:ascii="Palatino Linotype" w:hAnsi="Palatino Linotype"/>
          <w:sz w:val="24"/>
          <w:szCs w:val="24"/>
        </w:rPr>
        <w:t>Inconforme con la respuesta</w:t>
      </w:r>
      <w:r w:rsidR="001F2673">
        <w:rPr>
          <w:rFonts w:ascii="Palatino Linotype" w:hAnsi="Palatino Linotype"/>
          <w:sz w:val="24"/>
          <w:szCs w:val="24"/>
        </w:rPr>
        <w:t>,</w:t>
      </w:r>
      <w:r w:rsidRPr="001714A3">
        <w:rPr>
          <w:rFonts w:ascii="Palatino Linotype" w:hAnsi="Palatino Linotype"/>
          <w:sz w:val="24"/>
          <w:szCs w:val="24"/>
        </w:rPr>
        <w:t xml:space="preserve"> el Recurrente interpuso </w:t>
      </w:r>
      <w:r w:rsidR="00B33D79">
        <w:rPr>
          <w:rFonts w:ascii="Palatino Linotype" w:hAnsi="Palatino Linotype"/>
          <w:sz w:val="24"/>
          <w:szCs w:val="24"/>
        </w:rPr>
        <w:t xml:space="preserve">los </w:t>
      </w:r>
      <w:r w:rsidRPr="001714A3">
        <w:rPr>
          <w:rFonts w:ascii="Palatino Linotype" w:hAnsi="Palatino Linotype"/>
          <w:sz w:val="24"/>
          <w:szCs w:val="24"/>
        </w:rPr>
        <w:t>Recurso</w:t>
      </w:r>
      <w:r w:rsidR="001F2673">
        <w:rPr>
          <w:rFonts w:ascii="Palatino Linotype" w:hAnsi="Palatino Linotype"/>
          <w:sz w:val="24"/>
          <w:szCs w:val="24"/>
        </w:rPr>
        <w:t>s</w:t>
      </w:r>
      <w:r w:rsidRPr="001714A3">
        <w:rPr>
          <w:rFonts w:ascii="Palatino Linotype" w:hAnsi="Palatino Linotype"/>
          <w:sz w:val="24"/>
          <w:szCs w:val="24"/>
        </w:rPr>
        <w:t xml:space="preserve"> de Revisión de mérito, doliéndose esencialmente en su</w:t>
      </w:r>
      <w:r w:rsidR="001F2673">
        <w:rPr>
          <w:rFonts w:ascii="Palatino Linotype" w:hAnsi="Palatino Linotype"/>
          <w:sz w:val="24"/>
          <w:szCs w:val="24"/>
        </w:rPr>
        <w:t>s</w:t>
      </w:r>
      <w:r w:rsidRPr="001714A3">
        <w:rPr>
          <w:rFonts w:ascii="Palatino Linotype" w:hAnsi="Palatino Linotype"/>
          <w:sz w:val="24"/>
          <w:szCs w:val="24"/>
        </w:rPr>
        <w:t xml:space="preserve"> motivo</w:t>
      </w:r>
      <w:r w:rsidR="001F2673">
        <w:rPr>
          <w:rFonts w:ascii="Palatino Linotype" w:hAnsi="Palatino Linotype"/>
          <w:sz w:val="24"/>
          <w:szCs w:val="24"/>
        </w:rPr>
        <w:t>s</w:t>
      </w:r>
      <w:r w:rsidRPr="001714A3">
        <w:rPr>
          <w:rFonts w:ascii="Palatino Linotype" w:hAnsi="Palatino Linotype"/>
          <w:sz w:val="24"/>
          <w:szCs w:val="24"/>
        </w:rPr>
        <w:t xml:space="preserve"> de inconformidad</w:t>
      </w:r>
      <w:r w:rsidR="003705F5">
        <w:rPr>
          <w:rFonts w:ascii="Palatino Linotype" w:hAnsi="Palatino Linotype"/>
          <w:sz w:val="24"/>
          <w:szCs w:val="24"/>
        </w:rPr>
        <w:t xml:space="preserve"> como sigue</w:t>
      </w:r>
      <w:r w:rsidR="001F2673">
        <w:rPr>
          <w:rFonts w:ascii="Palatino Linotype" w:hAnsi="Palatino Linotype"/>
          <w:sz w:val="24"/>
          <w:szCs w:val="24"/>
        </w:rPr>
        <w:t xml:space="preserve">:  </w:t>
      </w:r>
      <w:r w:rsidR="005F5C37">
        <w:rPr>
          <w:rFonts w:ascii="Palatino Linotype" w:hAnsi="Palatino Linotype"/>
          <w:sz w:val="24"/>
          <w:szCs w:val="24"/>
        </w:rPr>
        <w:t xml:space="preserve"> </w:t>
      </w:r>
    </w:p>
    <w:p w:rsidR="001F2673" w:rsidRDefault="001F2673" w:rsidP="007E75F7">
      <w:pPr>
        <w:spacing w:before="240" w:after="240" w:line="240" w:lineRule="auto"/>
        <w:ind w:left="851" w:right="990"/>
        <w:jc w:val="both"/>
        <w:rPr>
          <w:rFonts w:ascii="Palatino Linotype" w:eastAsia="MS Mincho" w:hAnsi="Palatino Linotype" w:cs="Times New Roman"/>
          <w:i/>
          <w:sz w:val="24"/>
          <w:szCs w:val="24"/>
          <w:lang w:val="es-ES_tradnl" w:eastAsia="es-ES"/>
        </w:rPr>
      </w:pPr>
      <w:r w:rsidRPr="001F2673">
        <w:rPr>
          <w:rFonts w:ascii="Palatino Linotype" w:eastAsia="Calibri" w:hAnsi="Palatino Linotype" w:cs="Arial"/>
          <w:i/>
          <w:sz w:val="24"/>
          <w:szCs w:val="24"/>
          <w:lang w:val="es-ES" w:eastAsia="es-ES"/>
        </w:rPr>
        <w:t>“</w:t>
      </w:r>
      <w:r w:rsidR="0048681D" w:rsidRPr="000515C3">
        <w:rPr>
          <w:rFonts w:ascii="Palatino Linotype" w:hAnsi="Palatino Linotype"/>
          <w:b/>
          <w:i/>
          <w:color w:val="000000"/>
        </w:rPr>
        <w:t>“</w:t>
      </w:r>
      <w:r w:rsidR="0048681D" w:rsidRPr="000515C3">
        <w:rPr>
          <w:rFonts w:ascii="Palatino Linotype" w:hAnsi="Palatino Linotype"/>
          <w:i/>
          <w:color w:val="000000"/>
        </w:rPr>
        <w:t xml:space="preserve">La incompleta respuesta dada por el sujeto obligado, al omitir entregarme el nombramiento expedido por el Presidente Municipal a favor del C. Josafat </w:t>
      </w:r>
      <w:proofErr w:type="spellStart"/>
      <w:r w:rsidR="0048681D" w:rsidRPr="000515C3">
        <w:rPr>
          <w:rFonts w:ascii="Palatino Linotype" w:hAnsi="Palatino Linotype"/>
          <w:i/>
          <w:color w:val="000000"/>
        </w:rPr>
        <w:t>Valdéz</w:t>
      </w:r>
      <w:proofErr w:type="spellEnd"/>
      <w:r w:rsidR="0048681D" w:rsidRPr="000515C3">
        <w:rPr>
          <w:rFonts w:ascii="Palatino Linotype" w:hAnsi="Palatino Linotype"/>
          <w:i/>
          <w:color w:val="000000"/>
        </w:rPr>
        <w:t xml:space="preserve"> Martínez, quien se desempeña como Coordinador Municipal de Protección Civil del Municipio de Toluca; además de que, en su oficio de respuesta señala: "Cabe mencionar que se clasificaron documentos probatorios en la Décimo Tercera Sesión Extraordinaria del Comité de Transparencia. Sin más por el mo</w:t>
      </w:r>
      <w:r w:rsidR="0048681D">
        <w:rPr>
          <w:rFonts w:ascii="Palatino Linotype" w:hAnsi="Palatino Linotype"/>
          <w:i/>
          <w:color w:val="000000"/>
        </w:rPr>
        <w:t>mento reciba un cordial saludo.</w:t>
      </w:r>
      <w:r w:rsidRPr="001F2673">
        <w:rPr>
          <w:rFonts w:ascii="Palatino Linotype" w:eastAsia="MS Mincho" w:hAnsi="Palatino Linotype" w:cs="Times New Roman"/>
          <w:i/>
          <w:sz w:val="24"/>
          <w:szCs w:val="24"/>
          <w:lang w:val="es-ES_tradnl" w:eastAsia="es-ES"/>
        </w:rPr>
        <w:t>”</w:t>
      </w:r>
    </w:p>
    <w:p w:rsidR="001F2673" w:rsidRDefault="00DA5B01" w:rsidP="00001CB1">
      <w:pPr>
        <w:spacing w:before="240" w:after="24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Por su parte, el Sujeto Obligado </w:t>
      </w:r>
      <w:r w:rsidR="0048681D">
        <w:rPr>
          <w:rFonts w:ascii="Palatino Linotype" w:eastAsia="MS Mincho" w:hAnsi="Palatino Linotype" w:cs="Times New Roman"/>
          <w:sz w:val="24"/>
          <w:szCs w:val="24"/>
          <w:lang w:val="es-ES_tradnl" w:eastAsia="es-ES"/>
        </w:rPr>
        <w:t>modificó</w:t>
      </w:r>
      <w:r>
        <w:rPr>
          <w:rFonts w:ascii="Palatino Linotype" w:eastAsia="MS Mincho" w:hAnsi="Palatino Linotype" w:cs="Times New Roman"/>
          <w:sz w:val="24"/>
          <w:szCs w:val="24"/>
          <w:lang w:val="es-ES_tradnl" w:eastAsia="es-ES"/>
        </w:rPr>
        <w:t xml:space="preserve"> su respuesta </w:t>
      </w:r>
      <w:r w:rsidRPr="00DA5B01">
        <w:rPr>
          <w:rFonts w:ascii="Palatino Linotype" w:eastAsia="MS Mincho" w:hAnsi="Palatino Linotype" w:cs="Times New Roman"/>
          <w:sz w:val="24"/>
          <w:szCs w:val="24"/>
          <w:lang w:val="es-ES_tradnl" w:eastAsia="es-ES"/>
        </w:rPr>
        <w:t>a t</w:t>
      </w:r>
      <w:r>
        <w:rPr>
          <w:rFonts w:ascii="Palatino Linotype" w:eastAsia="MS Mincho" w:hAnsi="Palatino Linotype" w:cs="Times New Roman"/>
          <w:sz w:val="24"/>
          <w:szCs w:val="24"/>
          <w:lang w:val="es-ES_tradnl" w:eastAsia="es-ES"/>
        </w:rPr>
        <w:t>ravés de su</w:t>
      </w:r>
      <w:r w:rsidR="00FF626F">
        <w:rPr>
          <w:rFonts w:ascii="Palatino Linotype" w:eastAsia="MS Mincho" w:hAnsi="Palatino Linotype" w:cs="Times New Roman"/>
          <w:sz w:val="24"/>
          <w:szCs w:val="24"/>
          <w:lang w:val="es-ES_tradnl" w:eastAsia="es-ES"/>
        </w:rPr>
        <w:t xml:space="preserve"> i</w:t>
      </w:r>
      <w:r>
        <w:rPr>
          <w:rFonts w:ascii="Palatino Linotype" w:eastAsia="MS Mincho" w:hAnsi="Palatino Linotype" w:cs="Times New Roman"/>
          <w:sz w:val="24"/>
          <w:szCs w:val="24"/>
          <w:lang w:val="es-ES_tradnl" w:eastAsia="es-ES"/>
        </w:rPr>
        <w:t>nforme justificado</w:t>
      </w:r>
      <w:r w:rsidR="003705F5">
        <w:rPr>
          <w:rFonts w:ascii="Palatino Linotype" w:eastAsia="MS Mincho" w:hAnsi="Palatino Linotype" w:cs="Times New Roman"/>
          <w:sz w:val="24"/>
          <w:szCs w:val="24"/>
          <w:lang w:val="es-ES_tradnl" w:eastAsia="es-ES"/>
        </w:rPr>
        <w:t xml:space="preserve"> rendido en </w:t>
      </w:r>
      <w:r w:rsidR="00A3220C" w:rsidRPr="00A3220C">
        <w:rPr>
          <w:rFonts w:ascii="Palatino Linotype" w:eastAsia="Arial Unicode MS" w:hAnsi="Palatino Linotype" w:cs="Arial"/>
          <w:sz w:val="24"/>
          <w:szCs w:val="24"/>
        </w:rPr>
        <w:t>treinta de octubre de dos mil dieciocho</w:t>
      </w:r>
      <w:r w:rsidRPr="00A3220C">
        <w:rPr>
          <w:rFonts w:ascii="Palatino Linotype" w:eastAsia="MS Mincho" w:hAnsi="Palatino Linotype" w:cs="Times New Roman"/>
          <w:sz w:val="24"/>
          <w:szCs w:val="24"/>
          <w:lang w:val="es-ES_tradnl" w:eastAsia="es-ES"/>
        </w:rPr>
        <w:t>.</w:t>
      </w:r>
      <w:r w:rsidRPr="00A3220C">
        <w:rPr>
          <w:rFonts w:ascii="Palatino Linotype" w:eastAsia="MS Mincho" w:hAnsi="Palatino Linotype" w:cs="Times New Roman"/>
          <w:sz w:val="28"/>
          <w:szCs w:val="24"/>
          <w:lang w:val="es-ES_tradnl" w:eastAsia="es-ES"/>
        </w:rPr>
        <w:t xml:space="preserve"> </w:t>
      </w:r>
    </w:p>
    <w:p w:rsidR="001714A3" w:rsidRPr="001714A3" w:rsidRDefault="001714A3" w:rsidP="001714A3">
      <w:pPr>
        <w:spacing w:before="240" w:after="240" w:line="360" w:lineRule="auto"/>
        <w:jc w:val="both"/>
        <w:rPr>
          <w:rFonts w:ascii="Palatino Linotype" w:hAnsi="Palatino Linotype"/>
          <w:sz w:val="24"/>
          <w:szCs w:val="24"/>
        </w:rPr>
      </w:pPr>
      <w:r w:rsidRPr="001714A3">
        <w:rPr>
          <w:rFonts w:ascii="Palatino Linotype" w:hAnsi="Palatino Linotype"/>
          <w:sz w:val="24"/>
          <w:szCs w:val="24"/>
        </w:rPr>
        <w:t>Al respecto, es pertinente mencionar que si bien el suscrito coincido en términos</w:t>
      </w:r>
      <w:r w:rsidR="001F6B13">
        <w:rPr>
          <w:rFonts w:ascii="Palatino Linotype" w:hAnsi="Palatino Linotype"/>
          <w:sz w:val="24"/>
          <w:szCs w:val="24"/>
        </w:rPr>
        <w:t xml:space="preserve"> </w:t>
      </w:r>
      <w:r w:rsidRPr="001714A3">
        <w:rPr>
          <w:rFonts w:ascii="Palatino Linotype" w:hAnsi="Palatino Linotype"/>
          <w:sz w:val="24"/>
          <w:szCs w:val="24"/>
        </w:rPr>
        <w:t xml:space="preserve">generales con la resolución en </w:t>
      </w:r>
      <w:r w:rsidR="00603DF9" w:rsidRPr="001714A3">
        <w:rPr>
          <w:rFonts w:ascii="Palatino Linotype" w:hAnsi="Palatino Linotype"/>
          <w:sz w:val="24"/>
          <w:szCs w:val="24"/>
        </w:rPr>
        <w:t>cuanto al</w:t>
      </w:r>
      <w:r w:rsidRPr="001714A3">
        <w:rPr>
          <w:rFonts w:ascii="Palatino Linotype" w:hAnsi="Palatino Linotype"/>
          <w:sz w:val="24"/>
          <w:szCs w:val="24"/>
        </w:rPr>
        <w:t xml:space="preserve"> estudio de la misma, difiero particularmente en lo referente a</w:t>
      </w:r>
      <w:r w:rsidR="00A3220C">
        <w:rPr>
          <w:rFonts w:ascii="Palatino Linotype" w:hAnsi="Palatino Linotype"/>
          <w:sz w:val="24"/>
          <w:szCs w:val="24"/>
        </w:rPr>
        <w:t xml:space="preserve"> </w:t>
      </w:r>
      <w:r w:rsidRPr="001714A3">
        <w:rPr>
          <w:rFonts w:ascii="Palatino Linotype" w:hAnsi="Palatino Linotype"/>
          <w:sz w:val="24"/>
          <w:szCs w:val="24"/>
        </w:rPr>
        <w:t>l</w:t>
      </w:r>
      <w:r w:rsidR="00A3220C">
        <w:rPr>
          <w:rFonts w:ascii="Palatino Linotype" w:hAnsi="Palatino Linotype"/>
          <w:sz w:val="24"/>
          <w:szCs w:val="24"/>
        </w:rPr>
        <w:t>a</w:t>
      </w:r>
      <w:r w:rsidRPr="001714A3">
        <w:rPr>
          <w:rFonts w:ascii="Palatino Linotype" w:hAnsi="Palatino Linotype"/>
          <w:sz w:val="24"/>
          <w:szCs w:val="24"/>
        </w:rPr>
        <w:t xml:space="preserve"> </w:t>
      </w:r>
      <w:r w:rsidR="00A3220C">
        <w:rPr>
          <w:rFonts w:ascii="Palatino Linotype" w:hAnsi="Palatino Linotype"/>
          <w:sz w:val="24"/>
          <w:szCs w:val="24"/>
        </w:rPr>
        <w:t>entrega del certificado de</w:t>
      </w:r>
      <w:r w:rsidR="003705F5">
        <w:rPr>
          <w:rFonts w:ascii="Palatino Linotype" w:hAnsi="Palatino Linotype"/>
          <w:sz w:val="24"/>
          <w:szCs w:val="24"/>
        </w:rPr>
        <w:t xml:space="preserve"> no</w:t>
      </w:r>
      <w:r w:rsidR="00A3220C">
        <w:rPr>
          <w:rFonts w:ascii="Palatino Linotype" w:hAnsi="Palatino Linotype"/>
          <w:sz w:val="24"/>
          <w:szCs w:val="24"/>
        </w:rPr>
        <w:t xml:space="preserve"> antecedentes penales</w:t>
      </w:r>
      <w:r w:rsidRPr="001714A3">
        <w:rPr>
          <w:rFonts w:ascii="Palatino Linotype" w:hAnsi="Palatino Linotype"/>
          <w:sz w:val="24"/>
          <w:szCs w:val="24"/>
        </w:rPr>
        <w:t xml:space="preserve">. </w:t>
      </w:r>
    </w:p>
    <w:p w:rsidR="001714A3" w:rsidRPr="001714A3" w:rsidRDefault="001714A3" w:rsidP="001714A3">
      <w:pPr>
        <w:spacing w:before="240" w:after="240" w:line="360" w:lineRule="auto"/>
        <w:jc w:val="both"/>
        <w:rPr>
          <w:rFonts w:ascii="Palatino Linotype" w:hAnsi="Palatino Linotype"/>
          <w:sz w:val="24"/>
          <w:szCs w:val="24"/>
        </w:rPr>
      </w:pPr>
      <w:r w:rsidRPr="001714A3">
        <w:rPr>
          <w:rFonts w:ascii="Palatino Linotype" w:hAnsi="Palatino Linotype"/>
          <w:sz w:val="24"/>
          <w:szCs w:val="24"/>
        </w:rPr>
        <w:t xml:space="preserve">Lo anterior en razón de que </w:t>
      </w:r>
      <w:r w:rsidR="00A3220C">
        <w:rPr>
          <w:rFonts w:ascii="Palatino Linotype" w:hAnsi="Palatino Linotype"/>
          <w:sz w:val="24"/>
          <w:szCs w:val="24"/>
        </w:rPr>
        <w:t>el  Sujeto Obligado entregó</w:t>
      </w:r>
      <w:r w:rsidRPr="001714A3">
        <w:rPr>
          <w:rFonts w:ascii="Palatino Linotype" w:hAnsi="Palatino Linotype"/>
          <w:sz w:val="24"/>
          <w:szCs w:val="24"/>
        </w:rPr>
        <w:t xml:space="preserve"> diversos documentos, entre ellos, el Certificado de </w:t>
      </w:r>
      <w:r w:rsidR="003705F5">
        <w:rPr>
          <w:rFonts w:ascii="Palatino Linotype" w:hAnsi="Palatino Linotype"/>
          <w:sz w:val="24"/>
          <w:szCs w:val="24"/>
        </w:rPr>
        <w:t xml:space="preserve">no </w:t>
      </w:r>
      <w:r w:rsidR="00FF5561">
        <w:rPr>
          <w:rFonts w:ascii="Palatino Linotype" w:hAnsi="Palatino Linotype"/>
          <w:sz w:val="24"/>
          <w:szCs w:val="24"/>
        </w:rPr>
        <w:t>a</w:t>
      </w:r>
      <w:r w:rsidRPr="001714A3">
        <w:rPr>
          <w:rFonts w:ascii="Palatino Linotype" w:hAnsi="Palatino Linotype"/>
          <w:sz w:val="24"/>
          <w:szCs w:val="24"/>
        </w:rPr>
        <w:t>ntecedentes</w:t>
      </w:r>
      <w:r w:rsidR="00FF5561">
        <w:rPr>
          <w:rFonts w:ascii="Palatino Linotype" w:hAnsi="Palatino Linotype"/>
          <w:sz w:val="24"/>
          <w:szCs w:val="24"/>
        </w:rPr>
        <w:t xml:space="preserve"> pe</w:t>
      </w:r>
      <w:r w:rsidRPr="001714A3">
        <w:rPr>
          <w:rFonts w:ascii="Palatino Linotype" w:hAnsi="Palatino Linotype"/>
          <w:sz w:val="24"/>
          <w:szCs w:val="24"/>
        </w:rPr>
        <w:t>nales,</w:t>
      </w:r>
      <w:r w:rsidR="00544D60">
        <w:rPr>
          <w:rFonts w:ascii="Palatino Linotype" w:hAnsi="Palatino Linotype"/>
          <w:sz w:val="24"/>
          <w:szCs w:val="24"/>
        </w:rPr>
        <w:t xml:space="preserve"> del servidor público que se desempeña como </w:t>
      </w:r>
      <w:r w:rsidR="00544D60" w:rsidRPr="00544D60">
        <w:rPr>
          <w:rFonts w:ascii="Palatino Linotype" w:hAnsi="Palatino Linotype"/>
          <w:sz w:val="24"/>
          <w:szCs w:val="24"/>
        </w:rPr>
        <w:t>Coordinador Municipal de Protección Civil del Municipio de Toluca</w:t>
      </w:r>
      <w:r w:rsidR="00603DF9">
        <w:rPr>
          <w:rFonts w:ascii="Palatino Linotype" w:hAnsi="Palatino Linotype"/>
          <w:sz w:val="24"/>
          <w:szCs w:val="24"/>
        </w:rPr>
        <w:t xml:space="preserve">; </w:t>
      </w:r>
      <w:r w:rsidR="00603DF9" w:rsidRPr="001714A3">
        <w:rPr>
          <w:rFonts w:ascii="Palatino Linotype" w:hAnsi="Palatino Linotype"/>
          <w:sz w:val="24"/>
          <w:szCs w:val="24"/>
        </w:rPr>
        <w:t>documento</w:t>
      </w:r>
      <w:r w:rsidRPr="001714A3">
        <w:rPr>
          <w:rFonts w:ascii="Palatino Linotype" w:hAnsi="Palatino Linotype"/>
          <w:sz w:val="24"/>
          <w:szCs w:val="24"/>
        </w:rPr>
        <w:t xml:space="preserve"> que considero no debe ser entregado, sino por el contrario, </w:t>
      </w:r>
      <w:r w:rsidR="00603DF9" w:rsidRPr="001714A3">
        <w:rPr>
          <w:rFonts w:ascii="Palatino Linotype" w:hAnsi="Palatino Linotype"/>
          <w:sz w:val="24"/>
          <w:szCs w:val="24"/>
        </w:rPr>
        <w:t>deb</w:t>
      </w:r>
      <w:r w:rsidR="00544D60">
        <w:rPr>
          <w:rFonts w:ascii="Palatino Linotype" w:hAnsi="Palatino Linotype"/>
          <w:sz w:val="24"/>
          <w:szCs w:val="24"/>
        </w:rPr>
        <w:t>e</w:t>
      </w:r>
      <w:r w:rsidR="00603DF9" w:rsidRPr="001714A3">
        <w:rPr>
          <w:rFonts w:ascii="Palatino Linotype" w:hAnsi="Palatino Linotype"/>
          <w:sz w:val="24"/>
          <w:szCs w:val="24"/>
        </w:rPr>
        <w:t xml:space="preserve"> clasificarse</w:t>
      </w:r>
      <w:r w:rsidR="00603DF9">
        <w:rPr>
          <w:rFonts w:ascii="Palatino Linotype" w:hAnsi="Palatino Linotype"/>
          <w:sz w:val="24"/>
          <w:szCs w:val="24"/>
        </w:rPr>
        <w:t xml:space="preserve"> como</w:t>
      </w:r>
      <w:r w:rsidR="00FF5561">
        <w:rPr>
          <w:rFonts w:ascii="Palatino Linotype" w:hAnsi="Palatino Linotype"/>
          <w:sz w:val="24"/>
          <w:szCs w:val="24"/>
        </w:rPr>
        <w:t xml:space="preserve"> confidencial </w:t>
      </w:r>
      <w:r w:rsidRPr="001714A3">
        <w:rPr>
          <w:rFonts w:ascii="Palatino Linotype" w:hAnsi="Palatino Linotype"/>
          <w:sz w:val="24"/>
          <w:szCs w:val="24"/>
        </w:rPr>
        <w:t>en atención a los siguientes argumentos:</w:t>
      </w:r>
    </w:p>
    <w:p w:rsidR="001714A3" w:rsidRPr="001714A3" w:rsidRDefault="001714A3" w:rsidP="001714A3">
      <w:pPr>
        <w:spacing w:before="240" w:after="240" w:line="360" w:lineRule="auto"/>
        <w:jc w:val="both"/>
        <w:rPr>
          <w:rFonts w:ascii="Palatino Linotype" w:hAnsi="Palatino Linotype"/>
          <w:sz w:val="24"/>
          <w:szCs w:val="24"/>
        </w:rPr>
      </w:pPr>
      <w:r w:rsidRPr="001714A3">
        <w:rPr>
          <w:rFonts w:ascii="Palatino Linotype" w:hAnsi="Palatino Linotype"/>
          <w:sz w:val="24"/>
          <w:szCs w:val="24"/>
        </w:rPr>
        <w:lastRenderedPageBreak/>
        <w:t xml:space="preserve">En el caso concreto, es pertinente conocer cómo se integran los expedientes de ingreso de los servidores públicos para conocer cuáles son los documentos  que los conforman, y si entre ellos el certificado de antecedentes no penales es considerado un requisito que debe presentarse para que de este modo se encuentre bajo resguardo de una autoridad.  </w:t>
      </w:r>
    </w:p>
    <w:p w:rsidR="001714A3" w:rsidRPr="001714A3" w:rsidRDefault="001714A3" w:rsidP="001714A3">
      <w:pPr>
        <w:spacing w:before="240" w:after="240" w:line="360" w:lineRule="auto"/>
        <w:jc w:val="both"/>
        <w:rPr>
          <w:rFonts w:ascii="Palatino Linotype" w:hAnsi="Palatino Linotype"/>
          <w:sz w:val="24"/>
          <w:szCs w:val="24"/>
        </w:rPr>
      </w:pPr>
      <w:r w:rsidRPr="00E03023">
        <w:rPr>
          <w:rFonts w:ascii="Palatino Linotype" w:hAnsi="Palatino Linotype"/>
          <w:sz w:val="24"/>
          <w:szCs w:val="24"/>
        </w:rPr>
        <w:t>En este sentido, el Manual de Normas y Procedimientos de Desarrollo y Administración de Personal en el Procedimiento 021 “ALTA DE SERVIDORES PÚBLICOS GENERALES Y DE CONFIANZA” establece en las normas 20301/021-01 y 20301/021-11, lo siguiente:</w:t>
      </w:r>
    </w:p>
    <w:p w:rsidR="001714A3" w:rsidRPr="00E03023" w:rsidRDefault="001714A3" w:rsidP="007E75F7">
      <w:pPr>
        <w:spacing w:before="240" w:after="240" w:line="240" w:lineRule="auto"/>
        <w:ind w:left="851" w:right="990"/>
        <w:jc w:val="both"/>
        <w:rPr>
          <w:rFonts w:ascii="Palatino Linotype" w:hAnsi="Palatino Linotype"/>
          <w:i/>
        </w:rPr>
      </w:pPr>
      <w:r w:rsidRPr="00E03023">
        <w:rPr>
          <w:rFonts w:ascii="Palatino Linotype" w:hAnsi="Palatino Linotype"/>
          <w:i/>
        </w:rPr>
        <w:t>“20301/021-01 Es política del Gobierno del Estado de México no hacer discriminación alguna para el ingreso de servidores públicos, por motivo de sexo, credo religioso, e</w:t>
      </w:r>
      <w:r w:rsidR="002B42FC">
        <w:rPr>
          <w:rFonts w:ascii="Palatino Linotype" w:hAnsi="Palatino Linotype"/>
          <w:i/>
        </w:rPr>
        <w:t>dad, raza o filiación política</w:t>
      </w:r>
      <w:r w:rsidRPr="00E03023">
        <w:rPr>
          <w:rFonts w:ascii="Palatino Linotype" w:hAnsi="Palatino Linotype"/>
          <w:i/>
        </w:rPr>
        <w:t>…”</w:t>
      </w:r>
    </w:p>
    <w:p w:rsidR="001714A3" w:rsidRPr="00E03023" w:rsidRDefault="001714A3" w:rsidP="007E75F7">
      <w:pPr>
        <w:spacing w:before="240" w:after="240" w:line="240" w:lineRule="auto"/>
        <w:ind w:left="851" w:right="990"/>
        <w:jc w:val="both"/>
        <w:rPr>
          <w:rFonts w:ascii="Palatino Linotype" w:hAnsi="Palatino Linotype"/>
          <w:i/>
        </w:rPr>
      </w:pPr>
      <w:r w:rsidRPr="00E03023">
        <w:rPr>
          <w:rFonts w:ascii="Palatino Linotype" w:hAnsi="Palatino Linotype"/>
          <w:i/>
        </w:rPr>
        <w:t>“20301/021-11 Las coordinaciones administrativas o equivalentes, para dar de alta a un candidato en el sector central del Poder Ejecutivo del Gobierno del Estado de México, deberán solicitarle que presente el Informe de No Antecedentes Penales (Informe para solicitud como trámite laboral) emitido por la Procuraduría General de Justicia del Estado de México, por conducto del Instituto de Servicios Periciales, así como copia del comprobante en línea. El Informe de No Antecedentes Penales, no exime al candidato a ocupar algún puesto, de la obtención del Certificado de No Antecedentes Penales, el cual deberá presentar ante la coordinación administrativa o equivalente una vez que lo obtenga (solicitud como certificado para desempeñar un empleo, cargo o comisión en el servicio público o para ingreso o permanencia en Instituciones de Seguridad Pública)…”</w:t>
      </w:r>
    </w:p>
    <w:p w:rsidR="001714A3" w:rsidRPr="001714A3" w:rsidRDefault="001714A3" w:rsidP="001714A3">
      <w:pPr>
        <w:spacing w:before="240" w:after="240" w:line="360" w:lineRule="auto"/>
        <w:jc w:val="both"/>
        <w:rPr>
          <w:rFonts w:ascii="Palatino Linotype" w:hAnsi="Palatino Linotype"/>
          <w:sz w:val="24"/>
          <w:szCs w:val="24"/>
        </w:rPr>
      </w:pPr>
      <w:r w:rsidRPr="001714A3">
        <w:rPr>
          <w:rFonts w:ascii="Palatino Linotype" w:hAnsi="Palatino Linotype"/>
          <w:sz w:val="24"/>
          <w:szCs w:val="24"/>
        </w:rPr>
        <w:lastRenderedPageBreak/>
        <w:t xml:space="preserve"> De los preceptos legales en comento, se colige que para ingresar al servicio público en el Estado de México, entre otros documentos, se requiere la presentación del Certificado de No Antecedentes Penales.</w:t>
      </w:r>
    </w:p>
    <w:p w:rsidR="001714A3" w:rsidRPr="001714A3" w:rsidRDefault="001714A3" w:rsidP="001714A3">
      <w:pPr>
        <w:spacing w:before="240" w:after="240" w:line="360" w:lineRule="auto"/>
        <w:jc w:val="both"/>
        <w:rPr>
          <w:rFonts w:ascii="Palatino Linotype" w:hAnsi="Palatino Linotype"/>
          <w:sz w:val="24"/>
          <w:szCs w:val="24"/>
        </w:rPr>
      </w:pPr>
      <w:r w:rsidRPr="001714A3">
        <w:rPr>
          <w:rFonts w:ascii="Palatino Linotype" w:hAnsi="Palatino Linotype"/>
          <w:sz w:val="24"/>
          <w:szCs w:val="24"/>
        </w:rPr>
        <w:t xml:space="preserve">Ahora bien, para la obtención del citado documento el interesado deberá seguir el procedimiento establecido en el ACUERDO NUMERO 14/2011, DEL PROCURADOR GENERAL DE JUSTICIA DEL ESTADO DE MÉXICO, POR EL QUE SE ESTABLECEN LOS SUPUESTOS Y LINEAMIENTOS PARA LA EXPEDICIÓN DE INFORMES Y CERTIFICADOS DE NO ANTECEDENTES PENALES, publicado en la Gaceta del Gobierno del Estado de México, el día treinta de noviembre de dos mil once, que señala: </w:t>
      </w:r>
    </w:p>
    <w:p w:rsidR="001714A3" w:rsidRDefault="001714A3" w:rsidP="007E75F7">
      <w:pPr>
        <w:spacing w:after="0" w:line="240" w:lineRule="auto"/>
        <w:ind w:left="851" w:right="990"/>
        <w:jc w:val="both"/>
        <w:rPr>
          <w:rFonts w:ascii="Palatino Linotype" w:hAnsi="Palatino Linotype"/>
        </w:rPr>
      </w:pPr>
      <w:r w:rsidRPr="00E03023">
        <w:rPr>
          <w:rFonts w:ascii="Palatino Linotype" w:hAnsi="Palatino Linotype"/>
          <w:i/>
        </w:rPr>
        <w:t>“</w:t>
      </w:r>
      <w:r w:rsidRPr="00E03023">
        <w:rPr>
          <w:rFonts w:ascii="Palatino Linotype" w:hAnsi="Palatino Linotype"/>
          <w:b/>
          <w:i/>
        </w:rPr>
        <w:t>CUARTO</w:t>
      </w:r>
      <w:r w:rsidRPr="00E03023">
        <w:rPr>
          <w:rFonts w:ascii="Palatino Linotype" w:hAnsi="Palatino Linotype"/>
          <w:i/>
        </w:rPr>
        <w:t>. Para efectos de este Acuerdo, son antecedentes penales aquellos registros de, identificación personal sobre sujetos que hubieren sido condenados por autoridad judicial competente a una pena o medida de seguridad, mediante resolución que haya causado ejecutoria, en los términos a que hace referencia el Libro Primero. Titulo Tercero del Código Penal del Estado de México</w:t>
      </w:r>
      <w:r w:rsidRPr="00E03023">
        <w:rPr>
          <w:rFonts w:ascii="Palatino Linotype" w:hAnsi="Palatino Linotype"/>
        </w:rPr>
        <w:t>.</w:t>
      </w:r>
      <w:r w:rsidR="00335B29">
        <w:rPr>
          <w:rFonts w:ascii="Palatino Linotype" w:hAnsi="Palatino Linotype"/>
        </w:rPr>
        <w:t>”</w:t>
      </w:r>
    </w:p>
    <w:p w:rsidR="00335B29" w:rsidRPr="00E03023" w:rsidRDefault="00335B29" w:rsidP="007E75F7">
      <w:pPr>
        <w:spacing w:after="0" w:line="240" w:lineRule="auto"/>
        <w:ind w:left="851" w:right="990"/>
        <w:jc w:val="both"/>
        <w:rPr>
          <w:rFonts w:ascii="Palatino Linotype" w:hAnsi="Palatino Linotype"/>
        </w:rPr>
      </w:pPr>
    </w:p>
    <w:p w:rsidR="001714A3" w:rsidRPr="00E03023" w:rsidRDefault="001714A3" w:rsidP="007E75F7">
      <w:pPr>
        <w:spacing w:after="0" w:line="240" w:lineRule="auto"/>
        <w:ind w:left="851" w:right="990"/>
        <w:jc w:val="both"/>
        <w:rPr>
          <w:rFonts w:ascii="Palatino Linotype" w:hAnsi="Palatino Linotype"/>
          <w:i/>
        </w:rPr>
      </w:pPr>
      <w:r w:rsidRPr="00E03023">
        <w:rPr>
          <w:rFonts w:ascii="Palatino Linotype" w:hAnsi="Palatino Linotype"/>
          <w:i/>
        </w:rPr>
        <w:t>“</w:t>
      </w:r>
      <w:r w:rsidRPr="00E03023">
        <w:rPr>
          <w:rFonts w:ascii="Palatino Linotype" w:hAnsi="Palatino Linotype"/>
          <w:b/>
          <w:i/>
        </w:rPr>
        <w:t>SÉPTIMO</w:t>
      </w:r>
      <w:r w:rsidRPr="00E03023">
        <w:rPr>
          <w:rFonts w:ascii="Palatino Linotype" w:hAnsi="Palatino Linotype"/>
          <w:i/>
        </w:rPr>
        <w:t xml:space="preserve">. Para la expedición del Certificado de No Antecedentes Penales, el Instituto de Servicios Periciales deberá recabar constancia del pago de derechos respectivo, copia de identificación oficial, fotografías y huellas dactilares del interesado, conforme a la normatividad aplicable. Para el trámite respectivo, el interesado deberá: </w:t>
      </w:r>
    </w:p>
    <w:p w:rsidR="001714A3" w:rsidRPr="00E03023" w:rsidRDefault="001714A3" w:rsidP="007E75F7">
      <w:pPr>
        <w:spacing w:after="0" w:line="240" w:lineRule="auto"/>
        <w:ind w:left="851" w:right="990"/>
        <w:jc w:val="both"/>
        <w:rPr>
          <w:rFonts w:ascii="Palatino Linotype" w:hAnsi="Palatino Linotype"/>
          <w:i/>
        </w:rPr>
      </w:pPr>
      <w:r w:rsidRPr="00E03023">
        <w:rPr>
          <w:rFonts w:ascii="Palatino Linotype" w:hAnsi="Palatino Linotype"/>
          <w:i/>
        </w:rPr>
        <w:t>Realizar el pago de derechos por la expedición del Certificado de No Antecedentes Penales de la forma que a continuación se indica:</w:t>
      </w:r>
    </w:p>
    <w:p w:rsidR="00E03023" w:rsidRPr="00E03023" w:rsidRDefault="001714A3" w:rsidP="007E75F7">
      <w:pPr>
        <w:pStyle w:val="Prrafodelista"/>
        <w:numPr>
          <w:ilvl w:val="0"/>
          <w:numId w:val="14"/>
        </w:numPr>
        <w:ind w:left="851" w:right="990"/>
        <w:jc w:val="both"/>
        <w:rPr>
          <w:rFonts w:ascii="Palatino Linotype" w:hAnsi="Palatino Linotype" w:cs="Arial"/>
          <w:i/>
          <w:sz w:val="22"/>
          <w:szCs w:val="22"/>
        </w:rPr>
      </w:pPr>
      <w:r w:rsidRPr="00E03023">
        <w:rPr>
          <w:rFonts w:ascii="Palatino Linotype" w:hAnsi="Palatino Linotype"/>
          <w:sz w:val="22"/>
          <w:szCs w:val="22"/>
        </w:rPr>
        <w:t xml:space="preserve"> </w:t>
      </w:r>
      <w:r w:rsidR="00E03023" w:rsidRPr="00E03023">
        <w:rPr>
          <w:rFonts w:ascii="Palatino Linotype" w:hAnsi="Palatino Linotype" w:cs="Arial"/>
          <w:i/>
          <w:sz w:val="22"/>
          <w:szCs w:val="22"/>
        </w:rPr>
        <w:t>Ingresar a la página electrónica www.edomex.gob.mx: Hacer "</w:t>
      </w:r>
      <w:proofErr w:type="spellStart"/>
      <w:r w:rsidR="00E03023" w:rsidRPr="00E03023">
        <w:rPr>
          <w:rFonts w:ascii="Palatino Linotype" w:hAnsi="Palatino Linotype" w:cs="Arial"/>
          <w:i/>
          <w:sz w:val="22"/>
          <w:szCs w:val="22"/>
        </w:rPr>
        <w:t>click</w:t>
      </w:r>
      <w:proofErr w:type="spellEnd"/>
      <w:r w:rsidR="00E03023" w:rsidRPr="00E03023">
        <w:rPr>
          <w:rFonts w:ascii="Palatino Linotype" w:hAnsi="Palatino Linotype" w:cs="Arial"/>
          <w:i/>
          <w:sz w:val="22"/>
          <w:szCs w:val="22"/>
        </w:rPr>
        <w:t xml:space="preserve"> en el botón "Portal de Servicios al Contribuyente, Pagos Electrónicos"; </w:t>
      </w:r>
    </w:p>
    <w:p w:rsidR="00E03023" w:rsidRPr="00E03023" w:rsidRDefault="00E03023" w:rsidP="007E75F7">
      <w:pPr>
        <w:numPr>
          <w:ilvl w:val="0"/>
          <w:numId w:val="14"/>
        </w:numPr>
        <w:spacing w:after="0" w:line="240" w:lineRule="auto"/>
        <w:ind w:left="851"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Hacer "</w:t>
      </w:r>
      <w:proofErr w:type="spellStart"/>
      <w:r w:rsidRPr="00E03023">
        <w:rPr>
          <w:rFonts w:ascii="Palatino Linotype" w:eastAsia="Calibri" w:hAnsi="Palatino Linotype" w:cs="Arial"/>
          <w:i/>
          <w:lang w:val="es-ES" w:eastAsia="es-ES"/>
        </w:rPr>
        <w:t>click</w:t>
      </w:r>
      <w:proofErr w:type="spellEnd"/>
      <w:r w:rsidRPr="00E03023">
        <w:rPr>
          <w:rFonts w:ascii="Palatino Linotype" w:eastAsia="Calibri" w:hAnsi="Palatino Linotype" w:cs="Arial"/>
          <w:i/>
          <w:lang w:val="es-ES" w:eastAsia="es-ES"/>
        </w:rPr>
        <w:t xml:space="preserve">" en el botón "Derechos" y a continuación en "No Antecedentes Penales"; Llenar el "Formulario de Pago Estatal Procuraduría", e. imprimir el </w:t>
      </w:r>
      <w:r w:rsidRPr="00E03023">
        <w:rPr>
          <w:rFonts w:ascii="Palatino Linotype" w:eastAsia="Calibri" w:hAnsi="Palatino Linotype" w:cs="Arial"/>
          <w:i/>
          <w:lang w:val="es-ES" w:eastAsia="es-ES"/>
        </w:rPr>
        <w:lastRenderedPageBreak/>
        <w:t>formulario y acudir a realizar el pago en cualquiera de las instituciones bancarias señaladas en el mismo.</w:t>
      </w:r>
    </w:p>
    <w:p w:rsidR="00E03023" w:rsidRPr="00E03023" w:rsidRDefault="00E03023" w:rsidP="007E75F7">
      <w:pPr>
        <w:numPr>
          <w:ilvl w:val="0"/>
          <w:numId w:val="14"/>
        </w:numPr>
        <w:spacing w:after="0" w:line="240" w:lineRule="auto"/>
        <w:ind w:left="851"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 xml:space="preserve"> Hecho el pago de derechos, ingresar a la página www.eciornex.dob.mx/pgiern y proceder como sigue: Hacer "</w:t>
      </w:r>
      <w:proofErr w:type="spellStart"/>
      <w:r w:rsidRPr="00E03023">
        <w:rPr>
          <w:rFonts w:ascii="Palatino Linotype" w:eastAsia="Calibri" w:hAnsi="Palatino Linotype" w:cs="Arial"/>
          <w:i/>
          <w:lang w:val="es-ES" w:eastAsia="es-ES"/>
        </w:rPr>
        <w:t>click</w:t>
      </w:r>
      <w:proofErr w:type="spellEnd"/>
      <w:r w:rsidRPr="00E03023">
        <w:rPr>
          <w:rFonts w:ascii="Palatino Linotype" w:eastAsia="Calibri" w:hAnsi="Palatino Linotype" w:cs="Arial"/>
          <w:i/>
          <w:lang w:val="es-ES" w:eastAsia="es-ES"/>
        </w:rPr>
        <w:t>" en el botón "Expedición de Certificado de No Antecedentes Penales" y llenar el Formato correspondiente; dar "</w:t>
      </w:r>
      <w:proofErr w:type="spellStart"/>
      <w:r w:rsidRPr="00E03023">
        <w:rPr>
          <w:rFonts w:ascii="Palatino Linotype" w:eastAsia="Calibri" w:hAnsi="Palatino Linotype" w:cs="Arial"/>
          <w:i/>
          <w:lang w:val="es-ES" w:eastAsia="es-ES"/>
        </w:rPr>
        <w:t>click</w:t>
      </w:r>
      <w:proofErr w:type="spellEnd"/>
      <w:r w:rsidRPr="00E03023">
        <w:rPr>
          <w:rFonts w:ascii="Palatino Linotype" w:eastAsia="Calibri" w:hAnsi="Palatino Linotype" w:cs="Arial"/>
          <w:i/>
          <w:lang w:val="es-ES" w:eastAsia="es-ES"/>
        </w:rPr>
        <w:t xml:space="preserve">" en el botón "Siguiente" y aparecerá un comprobante de registro en línea, generando una clave del trámite un número de folio, el cual deberá imprimirse., el interesado se podrá presentar en las oficinas del Instituto de Servicios Periciales de su elección, en días hábiles, en un horario de 09:00 a 18:00 horas, exhibiendo el comprobante de registro en línea. </w:t>
      </w:r>
      <w:r>
        <w:rPr>
          <w:rFonts w:ascii="Palatino Linotype" w:eastAsia="Calibri" w:hAnsi="Palatino Linotype" w:cs="Arial"/>
          <w:i/>
          <w:lang w:val="es-ES" w:eastAsia="es-ES"/>
        </w:rPr>
        <w:t>“</w:t>
      </w:r>
    </w:p>
    <w:p w:rsidR="00E03023" w:rsidRPr="00E03023" w:rsidRDefault="00E03023" w:rsidP="007E75F7">
      <w:pPr>
        <w:spacing w:after="0" w:line="240" w:lineRule="auto"/>
        <w:ind w:left="851" w:right="990"/>
        <w:jc w:val="both"/>
        <w:rPr>
          <w:rFonts w:ascii="Palatino Linotype" w:hAnsi="Palatino Linotype" w:cs="Arial"/>
          <w:i/>
        </w:rPr>
      </w:pPr>
      <w:r w:rsidRPr="00E03023">
        <w:rPr>
          <w:rFonts w:ascii="Palatino Linotype" w:hAnsi="Palatino Linotype" w:cs="Arial"/>
          <w:i/>
        </w:rPr>
        <w:t>“</w:t>
      </w:r>
      <w:r w:rsidRPr="00E03023">
        <w:rPr>
          <w:rFonts w:ascii="Palatino Linotype" w:hAnsi="Palatino Linotype" w:cs="Arial"/>
          <w:b/>
          <w:i/>
        </w:rPr>
        <w:t>OCTAVO.</w:t>
      </w:r>
      <w:r w:rsidRPr="00E03023">
        <w:rPr>
          <w:rFonts w:ascii="Palatino Linotype" w:hAnsi="Palatino Linotype" w:cs="Arial"/>
          <w:i/>
        </w:rPr>
        <w:t xml:space="preserve"> El Instituto de Servicios Periciales expedirá </w:t>
      </w:r>
      <w:r w:rsidRPr="00E03023">
        <w:rPr>
          <w:rFonts w:ascii="Palatino Linotype" w:hAnsi="Palatino Linotype" w:cs="Arial"/>
          <w:b/>
          <w:i/>
        </w:rPr>
        <w:t>un Informe</w:t>
      </w:r>
      <w:r w:rsidRPr="00E03023">
        <w:rPr>
          <w:rFonts w:ascii="Palatino Linotype" w:hAnsi="Palatino Linotype" w:cs="Arial"/>
          <w:i/>
        </w:rPr>
        <w:t xml:space="preserve">, a través de medios electrónicos, cuyo trámite será gratuito. Para tal efecto, el interesado deberá ingresar a la página electrónica www.edomex.gob.mx/pcliem y realizar lo siguiente: </w:t>
      </w:r>
    </w:p>
    <w:p w:rsidR="00E03023" w:rsidRPr="00E03023" w:rsidRDefault="00E03023" w:rsidP="007E75F7">
      <w:pPr>
        <w:numPr>
          <w:ilvl w:val="0"/>
          <w:numId w:val="11"/>
        </w:numPr>
        <w:spacing w:after="0" w:line="240" w:lineRule="auto"/>
        <w:ind w:left="1418" w:right="990" w:hanging="426"/>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 xml:space="preserve">Llenar el Formato con los siguientes datos: </w:t>
      </w:r>
    </w:p>
    <w:p w:rsidR="00E03023" w:rsidRPr="00E03023" w:rsidRDefault="00E03023" w:rsidP="007E75F7">
      <w:pPr>
        <w:numPr>
          <w:ilvl w:val="1"/>
          <w:numId w:val="12"/>
        </w:numPr>
        <w:spacing w:after="0" w:line="240" w:lineRule="auto"/>
        <w:ind w:left="1701"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 xml:space="preserve">Nombre; </w:t>
      </w:r>
    </w:p>
    <w:p w:rsidR="00E03023" w:rsidRPr="00E03023" w:rsidRDefault="00E03023" w:rsidP="007E75F7">
      <w:pPr>
        <w:numPr>
          <w:ilvl w:val="1"/>
          <w:numId w:val="12"/>
        </w:numPr>
        <w:spacing w:after="0" w:line="240" w:lineRule="auto"/>
        <w:ind w:left="1701"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 xml:space="preserve">Apellido Paterno; </w:t>
      </w:r>
    </w:p>
    <w:p w:rsidR="00E03023" w:rsidRPr="00E03023" w:rsidRDefault="00E03023" w:rsidP="007E75F7">
      <w:pPr>
        <w:numPr>
          <w:ilvl w:val="1"/>
          <w:numId w:val="12"/>
        </w:numPr>
        <w:spacing w:after="0" w:line="240" w:lineRule="auto"/>
        <w:ind w:left="1701"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 xml:space="preserve">Apellido Materno; </w:t>
      </w:r>
    </w:p>
    <w:p w:rsidR="00E03023" w:rsidRPr="00E03023" w:rsidRDefault="00E03023" w:rsidP="007E75F7">
      <w:pPr>
        <w:numPr>
          <w:ilvl w:val="1"/>
          <w:numId w:val="12"/>
        </w:numPr>
        <w:spacing w:after="0" w:line="240" w:lineRule="auto"/>
        <w:ind w:left="1701"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Fecha de Nacimiento (</w:t>
      </w:r>
      <w:proofErr w:type="spellStart"/>
      <w:r w:rsidRPr="00E03023">
        <w:rPr>
          <w:rFonts w:ascii="Palatino Linotype" w:eastAsia="Calibri" w:hAnsi="Palatino Linotype" w:cs="Arial"/>
          <w:i/>
          <w:lang w:val="es-ES" w:eastAsia="es-ES"/>
        </w:rPr>
        <w:t>dd</w:t>
      </w:r>
      <w:proofErr w:type="spellEnd"/>
      <w:r w:rsidRPr="00E03023">
        <w:rPr>
          <w:rFonts w:ascii="Palatino Linotype" w:eastAsia="Calibri" w:hAnsi="Palatino Linotype" w:cs="Arial"/>
          <w:i/>
          <w:lang w:val="es-ES" w:eastAsia="es-ES"/>
        </w:rPr>
        <w:t>/mm/</w:t>
      </w:r>
      <w:proofErr w:type="spellStart"/>
      <w:r w:rsidRPr="00E03023">
        <w:rPr>
          <w:rFonts w:ascii="Palatino Linotype" w:eastAsia="Calibri" w:hAnsi="Palatino Linotype" w:cs="Arial"/>
          <w:i/>
          <w:lang w:val="es-ES" w:eastAsia="es-ES"/>
        </w:rPr>
        <w:t>aaaa</w:t>
      </w:r>
      <w:proofErr w:type="spellEnd"/>
      <w:r w:rsidRPr="00E03023">
        <w:rPr>
          <w:rFonts w:ascii="Palatino Linotype" w:eastAsia="Calibri" w:hAnsi="Palatino Linotype" w:cs="Arial"/>
          <w:i/>
          <w:lang w:val="es-ES" w:eastAsia="es-ES"/>
        </w:rPr>
        <w:t>):</w:t>
      </w:r>
    </w:p>
    <w:p w:rsidR="00E03023" w:rsidRPr="00E03023" w:rsidRDefault="00E03023" w:rsidP="007E75F7">
      <w:pPr>
        <w:numPr>
          <w:ilvl w:val="1"/>
          <w:numId w:val="12"/>
        </w:numPr>
        <w:spacing w:after="0" w:line="240" w:lineRule="auto"/>
        <w:ind w:left="1701"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 xml:space="preserve">Registro Federal de Contribuyentes (RFC); </w:t>
      </w:r>
    </w:p>
    <w:p w:rsidR="00E03023" w:rsidRPr="00E03023" w:rsidRDefault="00E03023" w:rsidP="007E75F7">
      <w:pPr>
        <w:numPr>
          <w:ilvl w:val="1"/>
          <w:numId w:val="12"/>
        </w:numPr>
        <w:spacing w:after="0" w:line="240" w:lineRule="auto"/>
        <w:ind w:left="1701"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 xml:space="preserve">Clave Única de Registro de Población (CURP); </w:t>
      </w:r>
    </w:p>
    <w:p w:rsidR="00E03023" w:rsidRPr="00E03023" w:rsidRDefault="00E03023" w:rsidP="007E75F7">
      <w:pPr>
        <w:numPr>
          <w:ilvl w:val="1"/>
          <w:numId w:val="12"/>
        </w:numPr>
        <w:spacing w:after="0" w:line="240" w:lineRule="auto"/>
        <w:ind w:left="1701"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 xml:space="preserve">Número de folio de la identificación: </w:t>
      </w:r>
    </w:p>
    <w:p w:rsidR="00E03023" w:rsidRPr="00E03023" w:rsidRDefault="00E03023" w:rsidP="007E75F7">
      <w:pPr>
        <w:numPr>
          <w:ilvl w:val="1"/>
          <w:numId w:val="12"/>
        </w:numPr>
        <w:spacing w:after="0" w:line="240" w:lineRule="auto"/>
        <w:ind w:left="1701"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Teléfono fijo y móvil;</w:t>
      </w:r>
    </w:p>
    <w:p w:rsidR="00E03023" w:rsidRPr="00E03023" w:rsidRDefault="00E03023" w:rsidP="007E75F7">
      <w:pPr>
        <w:numPr>
          <w:ilvl w:val="1"/>
          <w:numId w:val="12"/>
        </w:numPr>
        <w:spacing w:after="0" w:line="240" w:lineRule="auto"/>
        <w:ind w:left="1701"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 xml:space="preserve">Correo Electrónico, </w:t>
      </w:r>
    </w:p>
    <w:p w:rsidR="00E03023" w:rsidRPr="00E03023" w:rsidRDefault="00E03023" w:rsidP="007E75F7">
      <w:pPr>
        <w:numPr>
          <w:ilvl w:val="1"/>
          <w:numId w:val="12"/>
        </w:numPr>
        <w:spacing w:after="0" w:line="240" w:lineRule="auto"/>
        <w:ind w:left="1701"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 xml:space="preserve">Domicilio, que contendrá: Calle, número exterior, número interior, Colonia, Código Postal y Municipio dentro del Estado de México. </w:t>
      </w:r>
    </w:p>
    <w:p w:rsidR="00E03023" w:rsidRDefault="00E03023" w:rsidP="007E75F7">
      <w:pPr>
        <w:numPr>
          <w:ilvl w:val="1"/>
          <w:numId w:val="12"/>
        </w:numPr>
        <w:spacing w:after="0" w:line="240" w:lineRule="auto"/>
        <w:ind w:left="1701"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 xml:space="preserve">Adjuntar archivo que contenga la imagen de alguno de los documentos de identificación solicitados por el Sistema, y que serán: Credencial de elector expedida por el Instituto Federal Electoral, Licencia de conducir, Cartilla del Servicio Militar y Pasaporte expedido por la Secretaria de Relaciones Exteriores de la Federación. </w:t>
      </w:r>
    </w:p>
    <w:p w:rsidR="00E03023" w:rsidRPr="00E03023" w:rsidRDefault="00E03023" w:rsidP="007E75F7">
      <w:pPr>
        <w:spacing w:after="0" w:line="240" w:lineRule="auto"/>
        <w:ind w:left="851" w:right="990"/>
        <w:contextualSpacing/>
        <w:jc w:val="both"/>
        <w:rPr>
          <w:rFonts w:ascii="Palatino Linotype" w:eastAsia="Calibri" w:hAnsi="Palatino Linotype" w:cs="Arial"/>
          <w:i/>
          <w:lang w:val="es-ES" w:eastAsia="es-ES"/>
        </w:rPr>
      </w:pPr>
    </w:p>
    <w:p w:rsidR="00E03023" w:rsidRPr="00E03023" w:rsidRDefault="00E03023" w:rsidP="007E75F7">
      <w:pPr>
        <w:numPr>
          <w:ilvl w:val="0"/>
          <w:numId w:val="11"/>
        </w:numPr>
        <w:spacing w:after="0" w:line="240" w:lineRule="auto"/>
        <w:ind w:left="1134" w:right="990"/>
        <w:contextualSpacing/>
        <w:jc w:val="both"/>
        <w:rPr>
          <w:rFonts w:ascii="Palatino Linotype" w:eastAsia="Calibri" w:hAnsi="Palatino Linotype" w:cs="Arial"/>
          <w:i/>
          <w:lang w:val="es-ES" w:eastAsia="es-ES"/>
        </w:rPr>
      </w:pPr>
      <w:r w:rsidRPr="00E03023">
        <w:rPr>
          <w:rFonts w:ascii="Palatino Linotype" w:eastAsia="Calibri" w:hAnsi="Palatino Linotype" w:cs="Arial"/>
          <w:i/>
          <w:lang w:val="es-ES" w:eastAsia="es-ES"/>
        </w:rPr>
        <w:t>Dar "</w:t>
      </w:r>
      <w:proofErr w:type="spellStart"/>
      <w:r w:rsidRPr="00E03023">
        <w:rPr>
          <w:rFonts w:ascii="Palatino Linotype" w:eastAsia="Calibri" w:hAnsi="Palatino Linotype" w:cs="Arial"/>
          <w:i/>
          <w:lang w:val="es-ES" w:eastAsia="es-ES"/>
        </w:rPr>
        <w:t>click</w:t>
      </w:r>
      <w:proofErr w:type="spellEnd"/>
      <w:r w:rsidRPr="00E03023">
        <w:rPr>
          <w:rFonts w:ascii="Palatino Linotype" w:eastAsia="Calibri" w:hAnsi="Palatino Linotype" w:cs="Arial"/>
          <w:i/>
          <w:lang w:val="es-ES" w:eastAsia="es-ES"/>
        </w:rPr>
        <w:t xml:space="preserve">" en el rubro "enviar". El Sistema generará un folio y número de trámite, el cual podrá ser consultado en la página de Internet de la </w:t>
      </w:r>
      <w:r w:rsidRPr="00E03023">
        <w:rPr>
          <w:rFonts w:ascii="Palatino Linotype" w:eastAsia="Calibri" w:hAnsi="Palatino Linotype" w:cs="Arial"/>
          <w:i/>
          <w:lang w:val="es-ES" w:eastAsia="es-ES"/>
        </w:rPr>
        <w:lastRenderedPageBreak/>
        <w:t>Procuraduría General de Justicia del Estado de México por el plazo de treinta días naturales, a partir de la generación de la respuesta.”</w:t>
      </w:r>
    </w:p>
    <w:p w:rsidR="00E03023" w:rsidRPr="00E03023" w:rsidRDefault="00E03023" w:rsidP="007E75F7">
      <w:pPr>
        <w:spacing w:after="0" w:line="240" w:lineRule="auto"/>
        <w:ind w:left="851" w:right="990"/>
        <w:jc w:val="both"/>
        <w:rPr>
          <w:rFonts w:ascii="Palatino Linotype" w:hAnsi="Palatino Linotype" w:cs="Arial"/>
          <w:i/>
        </w:rPr>
      </w:pPr>
    </w:p>
    <w:p w:rsidR="00E03023" w:rsidRPr="00E03023" w:rsidRDefault="00E03023" w:rsidP="007E75F7">
      <w:pPr>
        <w:spacing w:after="0" w:line="240" w:lineRule="auto"/>
        <w:ind w:left="851" w:right="990"/>
        <w:jc w:val="both"/>
        <w:rPr>
          <w:rFonts w:ascii="Palatino Linotype" w:hAnsi="Palatino Linotype" w:cs="Arial"/>
          <w:i/>
        </w:rPr>
      </w:pPr>
      <w:r>
        <w:rPr>
          <w:rFonts w:ascii="Palatino Linotype" w:hAnsi="Palatino Linotype" w:cs="Arial"/>
          <w:i/>
        </w:rPr>
        <w:t>“</w:t>
      </w:r>
      <w:r w:rsidRPr="00E03023">
        <w:rPr>
          <w:rFonts w:ascii="Palatino Linotype" w:hAnsi="Palatino Linotype" w:cs="Arial"/>
          <w:b/>
          <w:i/>
        </w:rPr>
        <w:t>NOVENO</w:t>
      </w:r>
      <w:r w:rsidRPr="00E03023">
        <w:rPr>
          <w:rFonts w:ascii="Palatino Linotype" w:hAnsi="Palatino Linotype" w:cs="Arial"/>
          <w:i/>
        </w:rPr>
        <w:t xml:space="preserve">. El Informe será emitido únicamente en relación con los </w:t>
      </w:r>
      <w:r w:rsidRPr="00E03023">
        <w:rPr>
          <w:rFonts w:ascii="Palatino Linotype" w:hAnsi="Palatino Linotype" w:cs="Arial"/>
          <w:i/>
          <w:u w:val="single"/>
        </w:rPr>
        <w:t>datos proporcionados por el interesado</w:t>
      </w:r>
      <w:r w:rsidRPr="00E03023">
        <w:rPr>
          <w:rFonts w:ascii="Palatino Linotype" w:hAnsi="Palatino Linotype" w:cs="Arial"/>
          <w:i/>
        </w:rPr>
        <w:t xml:space="preserve"> en el Formato a que se refiere la fracción I del artículo anterior, y su utilización será estricta responsabilidad del usuario. El Informe se limitará a señalar que, conforme a los datos proporcionados, la persona de que se trate, no cuenta con antecedentes penales, sin hacer mayor precisión sobre los expedientes o registros correspondientes, o bien, que podrá presentarse en las oficinas del Instituto de Servicios Periciales para realizar las aclaraciones respectivas y en su caso, solicitar las rectificaciones y cancelaciones a que haya lugar, en términos de las disposiciones legales aplicables.</w:t>
      </w:r>
      <w:r>
        <w:rPr>
          <w:rFonts w:ascii="Palatino Linotype" w:hAnsi="Palatino Linotype" w:cs="Arial"/>
          <w:i/>
        </w:rPr>
        <w:t>”</w:t>
      </w:r>
    </w:p>
    <w:p w:rsidR="001714A3" w:rsidRPr="001714A3" w:rsidRDefault="00E03023" w:rsidP="007E75F7">
      <w:pPr>
        <w:tabs>
          <w:tab w:val="left" w:pos="7235"/>
        </w:tabs>
        <w:spacing w:after="0" w:line="240" w:lineRule="auto"/>
        <w:ind w:left="851" w:right="990"/>
        <w:jc w:val="both"/>
        <w:rPr>
          <w:rFonts w:ascii="Palatino Linotype" w:hAnsi="Palatino Linotype"/>
          <w:sz w:val="24"/>
          <w:szCs w:val="24"/>
        </w:rPr>
      </w:pPr>
      <w:r>
        <w:rPr>
          <w:rFonts w:ascii="Palatino Linotype" w:hAnsi="Palatino Linotype"/>
          <w:sz w:val="24"/>
          <w:szCs w:val="24"/>
        </w:rPr>
        <w:tab/>
      </w:r>
    </w:p>
    <w:p w:rsidR="00851C53" w:rsidRPr="00851C53" w:rsidRDefault="001714A3" w:rsidP="00851C53">
      <w:pPr>
        <w:spacing w:before="240" w:after="240" w:line="360" w:lineRule="auto"/>
        <w:jc w:val="both"/>
        <w:rPr>
          <w:rFonts w:ascii="Palatino Linotype" w:hAnsi="Palatino Linotype" w:cs="Arial"/>
          <w:sz w:val="24"/>
        </w:rPr>
      </w:pPr>
      <w:r w:rsidRPr="001714A3">
        <w:rPr>
          <w:rFonts w:ascii="Palatino Linotype" w:hAnsi="Palatino Linotype"/>
          <w:sz w:val="24"/>
          <w:szCs w:val="24"/>
        </w:rPr>
        <w:t>De lo anterior se desprende que para expedir el certificado de</w:t>
      </w:r>
      <w:r w:rsidR="003705F5">
        <w:rPr>
          <w:rFonts w:ascii="Palatino Linotype" w:hAnsi="Palatino Linotype"/>
          <w:sz w:val="24"/>
          <w:szCs w:val="24"/>
        </w:rPr>
        <w:t xml:space="preserve"> no </w:t>
      </w:r>
      <w:r w:rsidRPr="001714A3">
        <w:rPr>
          <w:rFonts w:ascii="Palatino Linotype" w:hAnsi="Palatino Linotype"/>
          <w:sz w:val="24"/>
          <w:szCs w:val="24"/>
        </w:rPr>
        <w:t xml:space="preserve">antecedentes penales o el informe respectivo, el Instituto de Servicios Periciales recabará los datos personales del interesado, de lo que resulta evidente que el certificado </w:t>
      </w:r>
      <w:proofErr w:type="spellStart"/>
      <w:r w:rsidRPr="001714A3">
        <w:rPr>
          <w:rFonts w:ascii="Palatino Linotype" w:hAnsi="Palatino Linotype"/>
          <w:sz w:val="24"/>
          <w:szCs w:val="24"/>
        </w:rPr>
        <w:t>multireferido</w:t>
      </w:r>
      <w:proofErr w:type="spellEnd"/>
      <w:r w:rsidRPr="001714A3">
        <w:rPr>
          <w:rFonts w:ascii="Palatino Linotype" w:hAnsi="Palatino Linotype"/>
          <w:sz w:val="24"/>
          <w:szCs w:val="24"/>
        </w:rPr>
        <w:t xml:space="preserve">  contiene datos que resultan de carácter confidencial, como lo es la fotografía de un servidor público lo que constituye un dato personal confidencial en términos de lo dispuesto en el criterio </w:t>
      </w:r>
      <w:r w:rsidR="00851C53" w:rsidRPr="00851C53">
        <w:rPr>
          <w:rFonts w:ascii="Palatino Linotype" w:hAnsi="Palatino Linotype" w:cs="Arial"/>
          <w:sz w:val="24"/>
        </w:rPr>
        <w:t>5/09</w:t>
      </w:r>
      <w:r w:rsidR="00851C53" w:rsidRPr="00851C53">
        <w:rPr>
          <w:rFonts w:ascii="Palatino Linotype" w:hAnsi="Palatino Linotype" w:cs="Arial"/>
          <w:sz w:val="24"/>
          <w:vertAlign w:val="superscript"/>
        </w:rPr>
        <w:footnoteReference w:id="1"/>
      </w:r>
      <w:r w:rsidR="00851C53" w:rsidRPr="00851C53">
        <w:rPr>
          <w:rFonts w:ascii="Palatino Linotype" w:hAnsi="Palatino Linotype" w:cs="Arial"/>
          <w:sz w:val="24"/>
        </w:rPr>
        <w:t>, del entonces IFAI ahora INAI, en el artículo 143, fracción I de la Ley de Transparencia y Acceso a la Información Pública del</w:t>
      </w:r>
      <w:r w:rsidR="00851C53" w:rsidRPr="00851C53">
        <w:rPr>
          <w:rFonts w:ascii="Palatino Linotype" w:eastAsia="Times New Roman" w:hAnsi="Palatino Linotype" w:cs="Arial"/>
          <w:lang w:eastAsia="es-MX"/>
        </w:rPr>
        <w:t xml:space="preserve"> </w:t>
      </w:r>
      <w:r w:rsidR="00851C53" w:rsidRPr="00851C53">
        <w:rPr>
          <w:rFonts w:ascii="Palatino Linotype" w:hAnsi="Palatino Linotype" w:cs="Arial"/>
          <w:sz w:val="24"/>
        </w:rPr>
        <w:t>Estado de México y Municipios, así como en el artículo 4, fracciones VII y VIII de la Ley de Protección de Datos Personales del Estado de México.</w:t>
      </w:r>
    </w:p>
    <w:p w:rsidR="001714A3" w:rsidRPr="00851C53" w:rsidRDefault="001714A3" w:rsidP="001714A3">
      <w:pPr>
        <w:spacing w:before="240" w:after="240" w:line="360" w:lineRule="auto"/>
        <w:jc w:val="both"/>
        <w:rPr>
          <w:rFonts w:ascii="Palatino Linotype" w:hAnsi="Palatino Linotype"/>
          <w:i/>
          <w:sz w:val="24"/>
          <w:szCs w:val="24"/>
        </w:rPr>
      </w:pPr>
      <w:r w:rsidRPr="001714A3">
        <w:rPr>
          <w:rFonts w:ascii="Palatino Linotype" w:hAnsi="Palatino Linotype"/>
          <w:sz w:val="24"/>
          <w:szCs w:val="24"/>
        </w:rPr>
        <w:lastRenderedPageBreak/>
        <w:t>Por lo que hace al domicilio de una persona física (domicilio particular), conforme a lo dispuesto por el artículo 2.17 del Código Civil del Estado de México, éste “</w:t>
      </w:r>
      <w:r w:rsidRPr="00851C53">
        <w:rPr>
          <w:rFonts w:ascii="Palatino Linotype" w:hAnsi="Palatino Linotype"/>
          <w:i/>
          <w:sz w:val="24"/>
          <w:szCs w:val="24"/>
        </w:rPr>
        <w:t>es el lugar donde reside con el propósito de establecerse en él; a falta de éste, el lugar en que tiene el principal asiento de sus negocios; y a falta de uno y otro, el lugar en que se halle”</w:t>
      </w:r>
    </w:p>
    <w:p w:rsidR="001714A3" w:rsidRPr="001714A3" w:rsidRDefault="001714A3" w:rsidP="001714A3">
      <w:pPr>
        <w:spacing w:before="240" w:after="240" w:line="360" w:lineRule="auto"/>
        <w:jc w:val="both"/>
        <w:rPr>
          <w:rFonts w:ascii="Palatino Linotype" w:hAnsi="Palatino Linotype"/>
          <w:sz w:val="24"/>
          <w:szCs w:val="24"/>
        </w:rPr>
      </w:pPr>
      <w:r w:rsidRPr="001714A3">
        <w:rPr>
          <w:rFonts w:ascii="Palatino Linotype" w:hAnsi="Palatino Linotype"/>
          <w:sz w:val="24"/>
          <w:szCs w:val="24"/>
        </w:rPr>
        <w:t>En ese sentido, el dato sobre el domicilio particular es información de carácter confidencial en términos de lo dispuesto por la fracción I del artículo 143 de la Ley de Transparencia y Acceso a la Información Pública de la entidad, así como el artículo 4, fracciones VII y VIII de la Ley de Protección de Datos Personales del Estado de México, en virtud de que constituye información que incide en la intimidad de un individuo identificado.</w:t>
      </w:r>
    </w:p>
    <w:p w:rsidR="001714A3" w:rsidRPr="001714A3" w:rsidRDefault="001714A3" w:rsidP="001714A3">
      <w:pPr>
        <w:spacing w:before="240" w:after="240" w:line="360" w:lineRule="auto"/>
        <w:jc w:val="both"/>
        <w:rPr>
          <w:rFonts w:ascii="Palatino Linotype" w:hAnsi="Palatino Linotype"/>
          <w:sz w:val="24"/>
          <w:szCs w:val="24"/>
        </w:rPr>
      </w:pPr>
      <w:r w:rsidRPr="001714A3">
        <w:rPr>
          <w:rFonts w:ascii="Palatino Linotype" w:hAnsi="Palatino Linotype"/>
          <w:sz w:val="24"/>
          <w:szCs w:val="24"/>
        </w:rPr>
        <w:t xml:space="preserve">Luego entonces se puede argumentar que, si bien el certificado de </w:t>
      </w:r>
      <w:r w:rsidR="000466FC">
        <w:rPr>
          <w:rFonts w:ascii="Palatino Linotype" w:hAnsi="Palatino Linotype"/>
          <w:sz w:val="24"/>
          <w:szCs w:val="24"/>
        </w:rPr>
        <w:t xml:space="preserve">no antecedentes </w:t>
      </w:r>
      <w:r w:rsidRPr="001714A3">
        <w:rPr>
          <w:rFonts w:ascii="Palatino Linotype" w:hAnsi="Palatino Linotype"/>
          <w:sz w:val="24"/>
          <w:szCs w:val="24"/>
        </w:rPr>
        <w:t xml:space="preserve">penales es un documento público al ser emitido por un servidor público dotado de atribuciones para tal efecto, no se debe perder de vista que de conformidad con lo establecido en la obra propuesta por el Doctor José Ramón Cossío Díaz, Ministro de la Suprema Corte de Justicia de la Nación, intitulada “La Transparencia y el Acceso a la Información en los Expedientes Judiciales”, cuyo principal objetivo consiste en unificar y complementar los criterios emitidos por el Alto Tribunal y el entonces Instituto Federal de Acceso a la Información y Protección de Datos, organismo autónomo, en materia de transparencia, bajo la incertidumbre para proporcionar la información contenida en los expedientes judiciales ante la solicitud de los particulares, es decir, es una herramienta práctica que coadyuva en la tarea de </w:t>
      </w:r>
      <w:r w:rsidRPr="001714A3">
        <w:rPr>
          <w:rFonts w:ascii="Palatino Linotype" w:hAnsi="Palatino Linotype"/>
          <w:sz w:val="24"/>
          <w:szCs w:val="24"/>
        </w:rPr>
        <w:lastRenderedPageBreak/>
        <w:t xml:space="preserve">atender el ejercicio de los derechos de acceso a la información y protección de datos, en la referida obra concretamente en el tema identificado con el numeral 138, “Constancia de antecedentes penales”, página 107, la cual establece que: </w:t>
      </w:r>
    </w:p>
    <w:p w:rsidR="001714A3" w:rsidRPr="00851C53" w:rsidRDefault="001714A3" w:rsidP="007E75F7">
      <w:pPr>
        <w:spacing w:after="0" w:line="240" w:lineRule="auto"/>
        <w:ind w:left="851" w:right="990"/>
        <w:jc w:val="both"/>
        <w:rPr>
          <w:rFonts w:ascii="Palatino Linotype" w:hAnsi="Palatino Linotype"/>
          <w:i/>
        </w:rPr>
      </w:pPr>
      <w:r w:rsidRPr="00851C53">
        <w:rPr>
          <w:rFonts w:ascii="Palatino Linotype" w:hAnsi="Palatino Linotype"/>
          <w:i/>
        </w:rPr>
        <w:t xml:space="preserve">“… </w:t>
      </w:r>
      <w:r w:rsidRPr="00851C53">
        <w:rPr>
          <w:rFonts w:ascii="Palatino Linotype" w:hAnsi="Palatino Linotype"/>
          <w:b/>
          <w:i/>
        </w:rPr>
        <w:t>la constancia de antecedentes penales es el documento expedido por la autoridad competente para acreditar la existencia o inexistencia de delitos cometidos por los individuos y la condena correspondiente</w:t>
      </w:r>
      <w:r w:rsidRPr="00851C53">
        <w:rPr>
          <w:rFonts w:ascii="Palatino Linotype" w:hAnsi="Palatino Linotype"/>
          <w:i/>
        </w:rPr>
        <w:t xml:space="preserve">, en su caso. </w:t>
      </w:r>
      <w:r w:rsidRPr="00851C53">
        <w:rPr>
          <w:rFonts w:ascii="Palatino Linotype" w:hAnsi="Palatino Linotype"/>
          <w:b/>
          <w:i/>
        </w:rPr>
        <w:t>La certificación corresponde a la policía y tiene importancia para determinar la reincidencia</w:t>
      </w:r>
      <w:r w:rsidRPr="00851C53">
        <w:rPr>
          <w:rFonts w:ascii="Palatino Linotype" w:hAnsi="Palatino Linotype"/>
          <w:i/>
        </w:rPr>
        <w:t xml:space="preserve"> (artículo 20 del Código Penal Federal), la habitualidad (artículo 21 del Código Penal Federal) </w:t>
      </w:r>
      <w:r w:rsidRPr="00851C53">
        <w:rPr>
          <w:rFonts w:ascii="Palatino Linotype" w:hAnsi="Palatino Linotype"/>
          <w:b/>
          <w:i/>
        </w:rPr>
        <w:t>y la posibilidad de caución</w:t>
      </w:r>
      <w:r w:rsidRPr="00851C53">
        <w:rPr>
          <w:rFonts w:ascii="Palatino Linotype" w:hAnsi="Palatino Linotype"/>
          <w:i/>
        </w:rPr>
        <w:t xml:space="preserve"> (artículo 402 del Código Federal de Procedimientos Penales), al respecto se precisa que materia de transparencia y acceso a la información, </w:t>
      </w:r>
      <w:r w:rsidRPr="00851C53">
        <w:rPr>
          <w:rFonts w:ascii="Palatino Linotype" w:hAnsi="Palatino Linotype"/>
          <w:i/>
          <w:u w:val="single"/>
        </w:rPr>
        <w:t>este acto jurídico contiene información confidencial pues se refiere a datos personales de particulares</w:t>
      </w:r>
      <w:r w:rsidRPr="00851C53">
        <w:rPr>
          <w:rFonts w:ascii="Palatino Linotype" w:hAnsi="Palatino Linotype"/>
          <w:i/>
        </w:rPr>
        <w:t xml:space="preserve">. </w:t>
      </w:r>
    </w:p>
    <w:p w:rsidR="001714A3" w:rsidRPr="001714A3" w:rsidRDefault="001714A3" w:rsidP="001714A3">
      <w:pPr>
        <w:spacing w:before="240" w:after="240" w:line="360" w:lineRule="auto"/>
        <w:jc w:val="both"/>
        <w:rPr>
          <w:rFonts w:ascii="Palatino Linotype" w:hAnsi="Palatino Linotype"/>
          <w:sz w:val="24"/>
          <w:szCs w:val="24"/>
        </w:rPr>
      </w:pPr>
      <w:r w:rsidRPr="001714A3">
        <w:rPr>
          <w:rFonts w:ascii="Palatino Linotype" w:hAnsi="Palatino Linotype"/>
          <w:sz w:val="24"/>
          <w:szCs w:val="24"/>
        </w:rPr>
        <w:t xml:space="preserve">En este sentido, de acuerdo al artículo 116 de la Ley General de Trasparencia, debe ser clasificado, por regla general, como confidencial, asimismo en el artículo 143 de la Ley de Transparencia y acceso a la Información Pública del Estado de México y Municipios. </w:t>
      </w:r>
    </w:p>
    <w:p w:rsidR="001714A3" w:rsidRPr="00851C53" w:rsidRDefault="001714A3" w:rsidP="007E75F7">
      <w:pPr>
        <w:spacing w:before="240" w:after="240" w:line="240" w:lineRule="auto"/>
        <w:ind w:left="851" w:right="990"/>
        <w:jc w:val="both"/>
        <w:rPr>
          <w:rFonts w:ascii="Palatino Linotype" w:hAnsi="Palatino Linotype"/>
          <w:i/>
        </w:rPr>
      </w:pPr>
      <w:r w:rsidRPr="00851C53">
        <w:rPr>
          <w:rFonts w:ascii="Palatino Linotype" w:hAnsi="Palatino Linotype"/>
          <w:i/>
        </w:rPr>
        <w:t>“</w:t>
      </w:r>
      <w:r w:rsidRPr="00851C53">
        <w:rPr>
          <w:rFonts w:ascii="Palatino Linotype" w:hAnsi="Palatino Linotype"/>
          <w:b/>
          <w:i/>
        </w:rPr>
        <w:t>Artículo 116</w:t>
      </w:r>
      <w:r w:rsidRPr="00851C53">
        <w:rPr>
          <w:rFonts w:ascii="Palatino Linotype" w:hAnsi="Palatino Linotype"/>
          <w:i/>
        </w:rPr>
        <w:t>. Se considera información confidencial la que contiene datos personales concernientes a una persona identificada o identificable.”</w:t>
      </w:r>
    </w:p>
    <w:p w:rsidR="001714A3" w:rsidRPr="00851C53" w:rsidRDefault="001714A3" w:rsidP="007E75F7">
      <w:pPr>
        <w:spacing w:before="240" w:after="240" w:line="240" w:lineRule="auto"/>
        <w:ind w:left="851" w:right="990"/>
        <w:jc w:val="both"/>
        <w:rPr>
          <w:rFonts w:ascii="Palatino Linotype" w:hAnsi="Palatino Linotype"/>
          <w:i/>
        </w:rPr>
      </w:pPr>
      <w:r w:rsidRPr="00851C53">
        <w:rPr>
          <w:rFonts w:ascii="Palatino Linotype" w:hAnsi="Palatino Linotype"/>
          <w:i/>
        </w:rPr>
        <w:t>“</w:t>
      </w:r>
      <w:r w:rsidRPr="00851C53">
        <w:rPr>
          <w:rFonts w:ascii="Palatino Linotype" w:hAnsi="Palatino Linotype"/>
          <w:b/>
          <w:i/>
        </w:rPr>
        <w:t>Artículo 143</w:t>
      </w:r>
      <w:r w:rsidRPr="00851C53">
        <w:rPr>
          <w:rFonts w:ascii="Palatino Linotype" w:hAnsi="Palatino Linotype"/>
          <w:i/>
        </w:rPr>
        <w:t xml:space="preserve">.- Para los efectos de esta ley se considera información confidencial la clasificada como tal, de manera permanente por su naturaleza cuando: </w:t>
      </w:r>
    </w:p>
    <w:p w:rsidR="001714A3" w:rsidRPr="00851C53" w:rsidRDefault="001714A3" w:rsidP="00B64FB9">
      <w:pPr>
        <w:spacing w:before="240" w:after="240" w:line="240" w:lineRule="auto"/>
        <w:ind w:left="851" w:right="990"/>
        <w:jc w:val="both"/>
        <w:rPr>
          <w:rFonts w:ascii="Palatino Linotype" w:hAnsi="Palatino Linotype"/>
          <w:i/>
        </w:rPr>
      </w:pPr>
      <w:r w:rsidRPr="00851C53">
        <w:rPr>
          <w:rFonts w:ascii="Palatino Linotype" w:hAnsi="Palatino Linotype"/>
          <w:i/>
        </w:rPr>
        <w:t>Se refiera a la información privada y los datos personales concernientes a una persona física o jurídico colecti</w:t>
      </w:r>
      <w:r w:rsidR="00B64FB9">
        <w:rPr>
          <w:rFonts w:ascii="Palatino Linotype" w:hAnsi="Palatino Linotype"/>
          <w:i/>
        </w:rPr>
        <w:t>va identificada o identificable</w:t>
      </w:r>
      <w:r w:rsidRPr="00851C53">
        <w:rPr>
          <w:rFonts w:ascii="Palatino Linotype" w:hAnsi="Palatino Linotype"/>
          <w:i/>
        </w:rPr>
        <w:t>…”</w:t>
      </w:r>
    </w:p>
    <w:p w:rsidR="001714A3" w:rsidRPr="001714A3" w:rsidRDefault="001714A3" w:rsidP="001714A3">
      <w:pPr>
        <w:spacing w:before="240" w:after="240" w:line="360" w:lineRule="auto"/>
        <w:jc w:val="both"/>
        <w:rPr>
          <w:rFonts w:ascii="Palatino Linotype" w:hAnsi="Palatino Linotype"/>
          <w:sz w:val="24"/>
          <w:szCs w:val="24"/>
        </w:rPr>
      </w:pPr>
      <w:r w:rsidRPr="001714A3">
        <w:rPr>
          <w:rFonts w:ascii="Palatino Linotype" w:hAnsi="Palatino Linotype"/>
          <w:sz w:val="24"/>
          <w:szCs w:val="24"/>
        </w:rPr>
        <w:t xml:space="preserve">De lo expuesto, se colige que un Certificado de No Antecedentes Penales constituye un documento que de ser entregado aún en versión pública, como </w:t>
      </w:r>
      <w:r w:rsidR="004F1D60">
        <w:rPr>
          <w:rFonts w:ascii="Palatino Linotype" w:hAnsi="Palatino Linotype"/>
          <w:sz w:val="24"/>
          <w:szCs w:val="24"/>
        </w:rPr>
        <w:t xml:space="preserve">lo hizo el sujeto </w:t>
      </w:r>
      <w:r w:rsidR="004F1D60">
        <w:rPr>
          <w:rFonts w:ascii="Palatino Linotype" w:hAnsi="Palatino Linotype"/>
          <w:sz w:val="24"/>
          <w:szCs w:val="24"/>
        </w:rPr>
        <w:lastRenderedPageBreak/>
        <w:t>obligado en su respuesta de once de octubre de dos mil dieciocho</w:t>
      </w:r>
      <w:r w:rsidR="00B64FB9">
        <w:rPr>
          <w:rFonts w:ascii="Palatino Linotype" w:hAnsi="Palatino Linotype"/>
          <w:sz w:val="24"/>
          <w:szCs w:val="24"/>
        </w:rPr>
        <w:t xml:space="preserve"> y en los términos del considerando quinto de la resolución</w:t>
      </w:r>
      <w:r w:rsidRPr="001714A3">
        <w:rPr>
          <w:rFonts w:ascii="Palatino Linotype" w:hAnsi="Palatino Linotype"/>
          <w:sz w:val="24"/>
          <w:szCs w:val="24"/>
        </w:rPr>
        <w:t>, el contenido estaría testado en su mayoría,</w:t>
      </w:r>
      <w:r w:rsidR="00B64FB9">
        <w:rPr>
          <w:rFonts w:ascii="Palatino Linotype" w:hAnsi="Palatino Linotype"/>
          <w:sz w:val="24"/>
          <w:szCs w:val="24"/>
        </w:rPr>
        <w:t xml:space="preserve"> </w:t>
      </w:r>
      <w:r w:rsidRPr="001714A3">
        <w:rPr>
          <w:rFonts w:ascii="Palatino Linotype" w:hAnsi="Palatino Linotype"/>
          <w:sz w:val="24"/>
          <w:szCs w:val="24"/>
        </w:rPr>
        <w:t xml:space="preserve"> dejándose observar </w:t>
      </w:r>
      <w:r w:rsidR="000466FC">
        <w:rPr>
          <w:rFonts w:ascii="Palatino Linotype" w:hAnsi="Palatino Linotype"/>
          <w:sz w:val="24"/>
          <w:szCs w:val="24"/>
        </w:rPr>
        <w:t xml:space="preserve">la fotografía y </w:t>
      </w:r>
      <w:r w:rsidRPr="001714A3">
        <w:rPr>
          <w:rFonts w:ascii="Palatino Linotype" w:hAnsi="Palatino Linotype"/>
          <w:sz w:val="24"/>
          <w:szCs w:val="24"/>
        </w:rPr>
        <w:t>lo correspondiente al formato principal o básico del documento, lo cual aludiría a un formato cuya información resulta irrelevante, esto en razón de que los datos que fuesen testados  constituyen información referente a la esfera privada de su titular, ya que se trata de características físicas que permiten la identificación de un individuo, así como lo referente a su conducta delictiva, que en caso de ser revelada podría otorgar acceso a terceros y posteriormente se podría derivar un mal uso de información, aunado a que de ella no se desprende el ejercicio de las atribuciones que en todo caso desempeñe el titular como servidor público o bien, la aplicación de recursos públicos. Situación por lo que debe considerarse información confidencial en términos de los artículos 143, fracción I de la Ley de Transparencia del Estado de México y Municipios y 4, fracciones VII y VIII de la Ley de Protección de Datos Personales del Estado de México.</w:t>
      </w:r>
    </w:p>
    <w:p w:rsidR="003E6DC4" w:rsidRDefault="003E6DC4" w:rsidP="003843F6">
      <w:pPr>
        <w:spacing w:after="0" w:line="240" w:lineRule="auto"/>
        <w:rPr>
          <w:rFonts w:ascii="Palatino Linotype" w:hAnsi="Palatino Linotype"/>
          <w:b/>
          <w:sz w:val="24"/>
          <w:szCs w:val="24"/>
        </w:rPr>
      </w:pPr>
    </w:p>
    <w:p w:rsidR="003E6DC4" w:rsidRDefault="003E6DC4" w:rsidP="00F97266">
      <w:pPr>
        <w:spacing w:after="0" w:line="240" w:lineRule="auto"/>
        <w:jc w:val="center"/>
        <w:rPr>
          <w:rFonts w:ascii="Palatino Linotype" w:hAnsi="Palatino Linotype"/>
          <w:b/>
          <w:sz w:val="24"/>
          <w:szCs w:val="24"/>
        </w:rPr>
      </w:pPr>
    </w:p>
    <w:p w:rsidR="001714A3" w:rsidRPr="00F97266" w:rsidRDefault="001714A3" w:rsidP="00F97266">
      <w:pPr>
        <w:spacing w:after="0" w:line="240" w:lineRule="auto"/>
        <w:jc w:val="center"/>
        <w:rPr>
          <w:rFonts w:ascii="Palatino Linotype" w:hAnsi="Palatino Linotype"/>
          <w:b/>
          <w:sz w:val="24"/>
          <w:szCs w:val="24"/>
        </w:rPr>
      </w:pPr>
      <w:r w:rsidRPr="00F97266">
        <w:rPr>
          <w:rFonts w:ascii="Palatino Linotype" w:hAnsi="Palatino Linotype"/>
          <w:b/>
          <w:sz w:val="24"/>
          <w:szCs w:val="24"/>
        </w:rPr>
        <w:t>Javier Martínez Cruz</w:t>
      </w:r>
    </w:p>
    <w:p w:rsidR="000607BA" w:rsidRDefault="003843F6" w:rsidP="003843F6">
      <w:pPr>
        <w:spacing w:after="0" w:line="240" w:lineRule="auto"/>
        <w:jc w:val="center"/>
        <w:rPr>
          <w:rFonts w:ascii="Palatino Linotype" w:hAnsi="Palatino Linotype"/>
          <w:sz w:val="24"/>
          <w:szCs w:val="24"/>
        </w:rPr>
      </w:pPr>
      <w:r>
        <w:rPr>
          <w:rFonts w:ascii="Palatino Linotype" w:hAnsi="Palatino Linotype"/>
          <w:sz w:val="24"/>
          <w:szCs w:val="24"/>
        </w:rPr>
        <w:t>Comisionado.</w:t>
      </w:r>
    </w:p>
    <w:p w:rsidR="00201D65" w:rsidRPr="00DE7A21" w:rsidRDefault="00201D65" w:rsidP="003843F6">
      <w:pPr>
        <w:spacing w:after="0" w:line="240" w:lineRule="auto"/>
        <w:jc w:val="center"/>
        <w:rPr>
          <w:rFonts w:ascii="Palatino Linotype" w:hAnsi="Palatino Linotype"/>
          <w:sz w:val="24"/>
          <w:szCs w:val="24"/>
        </w:rPr>
      </w:pPr>
      <w:r>
        <w:rPr>
          <w:rFonts w:ascii="Palatino Linotype" w:hAnsi="Palatino Linotype"/>
          <w:sz w:val="24"/>
          <w:szCs w:val="24"/>
        </w:rPr>
        <w:t>(Rúbrica</w:t>
      </w:r>
      <w:bookmarkStart w:id="0" w:name="_GoBack"/>
      <w:bookmarkEnd w:id="0"/>
      <w:r>
        <w:rPr>
          <w:rFonts w:ascii="Palatino Linotype" w:hAnsi="Palatino Linotype"/>
          <w:sz w:val="24"/>
          <w:szCs w:val="24"/>
        </w:rPr>
        <w:t>)</w:t>
      </w:r>
    </w:p>
    <w:sectPr w:rsidR="00201D65" w:rsidRPr="00DE7A21" w:rsidSect="00115CE3">
      <w:headerReference w:type="even" r:id="rId8"/>
      <w:headerReference w:type="default" r:id="rId9"/>
      <w:footerReference w:type="default" r:id="rId10"/>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6492" w:rsidRDefault="00786492" w:rsidP="00907451">
      <w:pPr>
        <w:spacing w:after="0" w:line="240" w:lineRule="auto"/>
      </w:pPr>
      <w:r>
        <w:separator/>
      </w:r>
    </w:p>
  </w:endnote>
  <w:endnote w:type="continuationSeparator" w:id="0">
    <w:p w:rsidR="00786492" w:rsidRDefault="00786492" w:rsidP="00907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057319"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01D65">
      <w:rPr>
        <w:rFonts w:ascii="Arial" w:hAnsi="Arial" w:cs="Arial"/>
        <w:b/>
        <w:bCs/>
        <w:noProof/>
        <w:sz w:val="20"/>
        <w:szCs w:val="20"/>
      </w:rPr>
      <w:t>9</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01D65">
      <w:rPr>
        <w:rFonts w:ascii="Arial" w:hAnsi="Arial" w:cs="Arial"/>
        <w:b/>
        <w:bCs/>
        <w:noProof/>
        <w:sz w:val="20"/>
        <w:szCs w:val="20"/>
      </w:rPr>
      <w:t>10</w:t>
    </w:r>
    <w:r w:rsidRPr="00986599">
      <w:rPr>
        <w:rFonts w:ascii="Arial" w:hAnsi="Arial" w:cs="Arial"/>
        <w:b/>
        <w:bCs/>
        <w:sz w:val="20"/>
        <w:szCs w:val="20"/>
      </w:rPr>
      <w:fldChar w:fldCharType="end"/>
    </w:r>
  </w:p>
  <w:p w:rsidR="00D758BE" w:rsidRDefault="00786492"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6492" w:rsidRDefault="00786492" w:rsidP="00907451">
      <w:pPr>
        <w:spacing w:after="0" w:line="240" w:lineRule="auto"/>
      </w:pPr>
      <w:r>
        <w:separator/>
      </w:r>
    </w:p>
  </w:footnote>
  <w:footnote w:type="continuationSeparator" w:id="0">
    <w:p w:rsidR="00786492" w:rsidRDefault="00786492" w:rsidP="00907451">
      <w:pPr>
        <w:spacing w:after="0" w:line="240" w:lineRule="auto"/>
      </w:pPr>
      <w:r>
        <w:continuationSeparator/>
      </w:r>
    </w:p>
  </w:footnote>
  <w:footnote w:id="1">
    <w:p w:rsidR="00851C53" w:rsidRPr="00DE7A21" w:rsidRDefault="00851C53" w:rsidP="00851C53">
      <w:pPr>
        <w:pStyle w:val="Textonotapie"/>
        <w:jc w:val="both"/>
        <w:rPr>
          <w:sz w:val="12"/>
          <w:szCs w:val="12"/>
        </w:rPr>
      </w:pPr>
      <w:r>
        <w:rPr>
          <w:rStyle w:val="Refdenotaalpie"/>
        </w:rPr>
        <w:footnoteRef/>
      </w:r>
      <w:r w:rsidRPr="00DE7A21">
        <w:rPr>
          <w:sz w:val="12"/>
        </w:rPr>
        <w:t xml:space="preserve"> </w:t>
      </w:r>
      <w:r w:rsidRPr="00DE7A21">
        <w:rPr>
          <w:b/>
          <w:sz w:val="12"/>
          <w:szCs w:val="12"/>
        </w:rPr>
        <w:t>Fotografía de servidores públicos es un dato personal confidencial.</w:t>
      </w:r>
      <w:r w:rsidRPr="00DE7A21">
        <w:rPr>
          <w:sz w:val="12"/>
          <w:szCs w:val="12"/>
        </w:rPr>
        <w:t xml:space="preserve"> En términos de lo dispuesto en el artículo 18, fracción II de la Ley Federal de Transparencia y Acceso a la Información Pública Gubernamental, se considera información confidencial los datos personales que requieren el consentimiento de los individuos para su difusión, distribución o comercialización. Por su parte, según dispone el artículo 3, fracción II de la Ley Federal de Transparencia y Acceso a la Información Pública Gubernamental, dato personal es toda aquella información concerniente a una persona física identificada o identificable. En este sentido,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En consecuencia, las fotografías constituyen datos personales y, como tales, susceptibles de clasificarse con el carácter de confidenciales. En esa tesitura, las fotografías de servidores públicos deben clasificarse con el carácter de confidenciales, considerando que no se advierte la existencia de algún elemento -reflejo del desempeño, idoneidad para ocupar un cargo, entre otros- que justifique su publicidad. Lo anterior es así, salvo en aquellos casos en los que se detecten circunstancias particulares que ameriten un tratamiento singular del caso en cuestión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057319">
    <w:pPr>
      <w:pStyle w:val="Encabezado"/>
    </w:pPr>
    <w:r>
      <w:rPr>
        <w:noProof/>
        <w:lang w:val="es-MX" w:eastAsia="es-MX"/>
      </w:rPr>
      <mc:AlternateContent>
        <mc:Choice Requires="wps">
          <w:drawing>
            <wp:anchor distT="0" distB="0" distL="114300" distR="114300" simplePos="0" relativeHeight="251656704" behindDoc="1" locked="0" layoutInCell="0" allowOverlap="1" wp14:anchorId="418310CF" wp14:editId="5C28A320">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18310CF"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057319"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786492" w:rsidP="007263BB">
    <w:pPr>
      <w:pStyle w:val="Encabezado"/>
      <w:jc w:val="right"/>
      <w:rPr>
        <w:rFonts w:ascii="Arial" w:hAnsi="Arial" w:cs="Arial"/>
        <w:sz w:val="20"/>
        <w:szCs w:val="20"/>
      </w:rPr>
    </w:pPr>
    <w:sdt>
      <w:sdtPr>
        <w:rPr>
          <w:rFonts w:ascii="Arial" w:hAnsi="Arial" w:cs="Arial"/>
          <w:sz w:val="20"/>
          <w:szCs w:val="20"/>
        </w:rPr>
        <w:id w:val="-94376468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439564" o:spid="_x0000_s2052" type="#_x0000_t136" style="position:absolute;left:0;text-align:left;margin-left:0;margin-top:0;width:518.25pt;height:111.05pt;rotation:315;z-index:-251657728;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sdtContent>
    </w:sdt>
    <w:r w:rsidR="00245DCD">
      <w:rPr>
        <w:noProof/>
        <w:lang w:val="es-MX" w:eastAsia="es-MX"/>
      </w:rPr>
      <w:drawing>
        <wp:anchor distT="0" distB="0" distL="114300" distR="114300" simplePos="0" relativeHeight="251657728" behindDoc="1" locked="0" layoutInCell="1" allowOverlap="1" wp14:anchorId="065874A4" wp14:editId="0A7F753F">
          <wp:simplePos x="0" y="0"/>
          <wp:positionH relativeFrom="page">
            <wp:align>left</wp:align>
          </wp:positionH>
          <wp:positionV relativeFrom="paragraph">
            <wp:posOffset>-449907</wp:posOffset>
          </wp:positionV>
          <wp:extent cx="7510628" cy="9883775"/>
          <wp:effectExtent l="0" t="0" r="0" b="3175"/>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786492" w:rsidP="007263BB">
    <w:pPr>
      <w:pStyle w:val="Encabezado"/>
      <w:jc w:val="right"/>
      <w:rPr>
        <w:rFonts w:ascii="Arial" w:hAnsi="Arial" w:cs="Arial"/>
        <w:sz w:val="20"/>
        <w:szCs w:val="20"/>
      </w:rPr>
    </w:pPr>
  </w:p>
  <w:p w:rsidR="00D758BE" w:rsidRDefault="00786492" w:rsidP="007263BB">
    <w:pPr>
      <w:pStyle w:val="Encabezado"/>
      <w:jc w:val="right"/>
      <w:rPr>
        <w:rFonts w:ascii="Arial" w:hAnsi="Arial" w:cs="Arial"/>
        <w:sz w:val="20"/>
        <w:szCs w:val="20"/>
      </w:rPr>
    </w:pPr>
  </w:p>
  <w:p w:rsidR="00706042" w:rsidRPr="00563D0F" w:rsidRDefault="00907451" w:rsidP="007263BB">
    <w:pPr>
      <w:pStyle w:val="Encabezado"/>
      <w:jc w:val="right"/>
      <w:rPr>
        <w:rFonts w:ascii="Palatino Linotype" w:hAnsi="Palatino Linotype" w:cs="Arial"/>
        <w:b/>
        <w:sz w:val="20"/>
        <w:szCs w:val="20"/>
      </w:rPr>
    </w:pPr>
    <w:r>
      <w:rPr>
        <w:rFonts w:ascii="Palatino Linotype" w:hAnsi="Palatino Linotype" w:cs="Arial"/>
        <w:b/>
        <w:sz w:val="20"/>
        <w:szCs w:val="20"/>
      </w:rPr>
      <w:t>VOTO</w:t>
    </w:r>
    <w:r w:rsidR="00057319">
      <w:rPr>
        <w:rFonts w:ascii="Palatino Linotype" w:hAnsi="Palatino Linotype" w:cs="Arial"/>
        <w:b/>
        <w:sz w:val="20"/>
        <w:szCs w:val="20"/>
      </w:rPr>
      <w:t xml:space="preserve"> PARTICULAR</w:t>
    </w:r>
    <w:r w:rsidR="00057319" w:rsidRPr="00563D0F">
      <w:rPr>
        <w:rFonts w:ascii="Palatino Linotype" w:hAnsi="Palatino Linotype" w:cs="Arial"/>
        <w:b/>
        <w:sz w:val="20"/>
        <w:szCs w:val="20"/>
      </w:rPr>
      <w:t xml:space="preserve"> </w:t>
    </w:r>
  </w:p>
  <w:p w:rsidR="00EE5FB0" w:rsidRPr="00563D0F" w:rsidRDefault="00C33457" w:rsidP="009016C0">
    <w:pPr>
      <w:pStyle w:val="Encabezado"/>
      <w:jc w:val="right"/>
      <w:rPr>
        <w:rFonts w:ascii="Palatino Linotype" w:hAnsi="Palatino Linotype" w:cs="Arial"/>
        <w:b/>
        <w:sz w:val="20"/>
        <w:szCs w:val="20"/>
      </w:rPr>
    </w:pPr>
    <w:r>
      <w:rPr>
        <w:rFonts w:ascii="Palatino Linotype" w:hAnsi="Palatino Linotype" w:cs="Arial"/>
        <w:b/>
        <w:sz w:val="20"/>
        <w:szCs w:val="20"/>
      </w:rPr>
      <w:t xml:space="preserve">    </w:t>
    </w:r>
    <w:r w:rsidR="00057319" w:rsidRPr="00563D0F">
      <w:rPr>
        <w:rFonts w:ascii="Palatino Linotype" w:hAnsi="Palatino Linotype" w:cs="Arial"/>
        <w:b/>
        <w:sz w:val="20"/>
        <w:szCs w:val="20"/>
      </w:rPr>
      <w:t xml:space="preserve">RECURSO DE </w:t>
    </w:r>
    <w:r w:rsidR="00057319" w:rsidRPr="006B0547">
      <w:rPr>
        <w:rFonts w:ascii="Palatino Linotype" w:hAnsi="Palatino Linotype" w:cs="Arial"/>
        <w:b/>
        <w:sz w:val="20"/>
        <w:szCs w:val="20"/>
      </w:rPr>
      <w:t>REVISIÓN</w:t>
    </w:r>
    <w:r>
      <w:rPr>
        <w:rFonts w:ascii="Palatino Linotype" w:hAnsi="Palatino Linotype" w:cs="Arial"/>
        <w:b/>
        <w:sz w:val="20"/>
        <w:szCs w:val="20"/>
      </w:rPr>
      <w:t>:</w:t>
    </w:r>
    <w:r w:rsidR="00057319" w:rsidRPr="006B0547">
      <w:rPr>
        <w:rFonts w:ascii="Palatino Linotype" w:hAnsi="Palatino Linotype" w:cs="Arial"/>
        <w:b/>
        <w:sz w:val="20"/>
        <w:szCs w:val="20"/>
      </w:rPr>
      <w:t xml:space="preserve"> </w:t>
    </w:r>
    <w:r w:rsidR="009016C0">
      <w:rPr>
        <w:rFonts w:ascii="Palatino Linotype" w:hAnsi="Palatino Linotype" w:cs="Arial"/>
        <w:b/>
        <w:sz w:val="20"/>
        <w:szCs w:val="20"/>
      </w:rPr>
      <w:t>03932</w:t>
    </w:r>
    <w:r w:rsidR="00897E24" w:rsidRPr="00897E24">
      <w:rPr>
        <w:rFonts w:ascii="Palatino Linotype" w:hAnsi="Palatino Linotype" w:cs="Arial"/>
        <w:b/>
        <w:sz w:val="20"/>
        <w:szCs w:val="20"/>
      </w:rPr>
      <w:t>/INFOEM/IP/RR/201</w:t>
    </w:r>
    <w:r w:rsidR="009016C0">
      <w:rPr>
        <w:rFonts w:ascii="Palatino Linotype" w:hAnsi="Palatino Linotype" w:cs="Arial"/>
        <w:b/>
        <w:sz w:val="20"/>
        <w:szCs w:val="20"/>
      </w:rPr>
      <w:t>8</w:t>
    </w:r>
    <w:r>
      <w:rPr>
        <w:rFonts w:ascii="Palatino Linotype" w:hAnsi="Palatino Linotype" w:cs="Arial"/>
        <w:b/>
        <w:sz w:val="20"/>
        <w:szCs w:val="20"/>
      </w:rPr>
      <w:t xml:space="preserve"> </w:t>
    </w:r>
  </w:p>
  <w:p w:rsidR="00D758BE" w:rsidRDefault="00786492" w:rsidP="007263BB">
    <w:pPr>
      <w:pStyle w:val="Encabezado"/>
      <w:jc w:val="right"/>
      <w:rPr>
        <w:rFonts w:ascii="Palatino Linotype" w:hAnsi="Palatino Linotype" w:cs="Arial"/>
        <w:sz w:val="20"/>
        <w:szCs w:val="20"/>
      </w:rPr>
    </w:pPr>
  </w:p>
  <w:p w:rsidR="00233AB2" w:rsidRDefault="00786492"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A1D0F"/>
    <w:multiLevelType w:val="hybridMultilevel"/>
    <w:tmpl w:val="1DD48EDE"/>
    <w:lvl w:ilvl="0" w:tplc="53F2FF98">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442336"/>
    <w:multiLevelType w:val="hybridMultilevel"/>
    <w:tmpl w:val="09F2E3CC"/>
    <w:lvl w:ilvl="0" w:tplc="080A0005">
      <w:start w:val="1"/>
      <w:numFmt w:val="bullet"/>
      <w:lvlText w:val=""/>
      <w:lvlJc w:val="left"/>
      <w:pPr>
        <w:ind w:left="720" w:hanging="360"/>
      </w:pPr>
      <w:rPr>
        <w:rFonts w:ascii="Wingdings" w:hAnsi="Wingdings" w:hint="default"/>
      </w:rPr>
    </w:lvl>
    <w:lvl w:ilvl="1" w:tplc="080A0005">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135712"/>
    <w:multiLevelType w:val="hybridMultilevel"/>
    <w:tmpl w:val="48F0B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3E01C4"/>
    <w:multiLevelType w:val="hybridMultilevel"/>
    <w:tmpl w:val="70805CA2"/>
    <w:lvl w:ilvl="0" w:tplc="162CE85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014DB2"/>
    <w:multiLevelType w:val="hybridMultilevel"/>
    <w:tmpl w:val="F9664EB0"/>
    <w:lvl w:ilvl="0" w:tplc="080A0019">
      <w:start w:val="1"/>
      <w:numFmt w:val="lowerLetter"/>
      <w:lvlText w:val="%1."/>
      <w:lvlJc w:val="left"/>
      <w:pPr>
        <w:ind w:left="1776" w:hanging="360"/>
      </w:pPr>
      <w:rPr>
        <w:rFonts w:hint="default"/>
      </w:rPr>
    </w:lvl>
    <w:lvl w:ilvl="1" w:tplc="080A0003" w:tentative="1">
      <w:start w:val="1"/>
      <w:numFmt w:val="bullet"/>
      <w:lvlText w:val="o"/>
      <w:lvlJc w:val="left"/>
      <w:pPr>
        <w:ind w:left="2496" w:hanging="360"/>
      </w:pPr>
      <w:rPr>
        <w:rFonts w:ascii="Courier New" w:hAnsi="Courier New" w:cs="Courier New" w:hint="default"/>
      </w:rPr>
    </w:lvl>
    <w:lvl w:ilvl="2" w:tplc="080A0005" w:tentative="1">
      <w:start w:val="1"/>
      <w:numFmt w:val="bullet"/>
      <w:lvlText w:val=""/>
      <w:lvlJc w:val="left"/>
      <w:pPr>
        <w:ind w:left="3216" w:hanging="360"/>
      </w:pPr>
      <w:rPr>
        <w:rFonts w:ascii="Wingdings" w:hAnsi="Wingdings" w:hint="default"/>
      </w:rPr>
    </w:lvl>
    <w:lvl w:ilvl="3" w:tplc="080A0001" w:tentative="1">
      <w:start w:val="1"/>
      <w:numFmt w:val="bullet"/>
      <w:lvlText w:val=""/>
      <w:lvlJc w:val="left"/>
      <w:pPr>
        <w:ind w:left="3936" w:hanging="360"/>
      </w:pPr>
      <w:rPr>
        <w:rFonts w:ascii="Symbol" w:hAnsi="Symbol" w:hint="default"/>
      </w:rPr>
    </w:lvl>
    <w:lvl w:ilvl="4" w:tplc="080A0003" w:tentative="1">
      <w:start w:val="1"/>
      <w:numFmt w:val="bullet"/>
      <w:lvlText w:val="o"/>
      <w:lvlJc w:val="left"/>
      <w:pPr>
        <w:ind w:left="4656" w:hanging="360"/>
      </w:pPr>
      <w:rPr>
        <w:rFonts w:ascii="Courier New" w:hAnsi="Courier New" w:cs="Courier New" w:hint="default"/>
      </w:rPr>
    </w:lvl>
    <w:lvl w:ilvl="5" w:tplc="080A0005" w:tentative="1">
      <w:start w:val="1"/>
      <w:numFmt w:val="bullet"/>
      <w:lvlText w:val=""/>
      <w:lvlJc w:val="left"/>
      <w:pPr>
        <w:ind w:left="5376" w:hanging="360"/>
      </w:pPr>
      <w:rPr>
        <w:rFonts w:ascii="Wingdings" w:hAnsi="Wingdings" w:hint="default"/>
      </w:rPr>
    </w:lvl>
    <w:lvl w:ilvl="6" w:tplc="080A0001" w:tentative="1">
      <w:start w:val="1"/>
      <w:numFmt w:val="bullet"/>
      <w:lvlText w:val=""/>
      <w:lvlJc w:val="left"/>
      <w:pPr>
        <w:ind w:left="6096" w:hanging="360"/>
      </w:pPr>
      <w:rPr>
        <w:rFonts w:ascii="Symbol" w:hAnsi="Symbol" w:hint="default"/>
      </w:rPr>
    </w:lvl>
    <w:lvl w:ilvl="7" w:tplc="080A0003" w:tentative="1">
      <w:start w:val="1"/>
      <w:numFmt w:val="bullet"/>
      <w:lvlText w:val="o"/>
      <w:lvlJc w:val="left"/>
      <w:pPr>
        <w:ind w:left="6816" w:hanging="360"/>
      </w:pPr>
      <w:rPr>
        <w:rFonts w:ascii="Courier New" w:hAnsi="Courier New" w:cs="Courier New" w:hint="default"/>
      </w:rPr>
    </w:lvl>
    <w:lvl w:ilvl="8" w:tplc="080A0005" w:tentative="1">
      <w:start w:val="1"/>
      <w:numFmt w:val="bullet"/>
      <w:lvlText w:val=""/>
      <w:lvlJc w:val="left"/>
      <w:pPr>
        <w:ind w:left="7536" w:hanging="360"/>
      </w:pPr>
      <w:rPr>
        <w:rFonts w:ascii="Wingdings" w:hAnsi="Wingdings" w:hint="default"/>
      </w:rPr>
    </w:lvl>
  </w:abstractNum>
  <w:abstractNum w:abstractNumId="5" w15:restartNumberingAfterBreak="0">
    <w:nsid w:val="2B2A3375"/>
    <w:multiLevelType w:val="hybridMultilevel"/>
    <w:tmpl w:val="582AC1FA"/>
    <w:lvl w:ilvl="0" w:tplc="24845AD0">
      <w:start w:val="1"/>
      <w:numFmt w:val="decimal"/>
      <w:lvlText w:val="%1."/>
      <w:lvlJc w:val="left"/>
      <w:pPr>
        <w:ind w:left="644" w:hanging="360"/>
      </w:pPr>
      <w:rPr>
        <w:sz w:val="14"/>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6" w15:restartNumberingAfterBreak="0">
    <w:nsid w:val="461C54D4"/>
    <w:multiLevelType w:val="hybridMultilevel"/>
    <w:tmpl w:val="9BE2A540"/>
    <w:lvl w:ilvl="0" w:tplc="6046E4A8">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67F4243"/>
    <w:multiLevelType w:val="hybridMultilevel"/>
    <w:tmpl w:val="ED5C7756"/>
    <w:lvl w:ilvl="0" w:tplc="080A000F">
      <w:start w:val="1"/>
      <w:numFmt w:val="decimal"/>
      <w:lvlText w:val="%1."/>
      <w:lvlJc w:val="left"/>
      <w:pPr>
        <w:ind w:left="644" w:hanging="360"/>
      </w:pPr>
    </w:lvl>
    <w:lvl w:ilvl="1" w:tplc="9DC4F70E">
      <w:start w:val="1"/>
      <w:numFmt w:val="lowerLetter"/>
      <w:lvlText w:val="%2."/>
      <w:lvlJc w:val="left"/>
      <w:pPr>
        <w:ind w:left="1364" w:hanging="360"/>
      </w:pPr>
      <w:rPr>
        <w:sz w:val="14"/>
      </w:r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4C3E37EA"/>
    <w:multiLevelType w:val="hybridMultilevel"/>
    <w:tmpl w:val="814CA7DA"/>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1641580"/>
    <w:multiLevelType w:val="hybridMultilevel"/>
    <w:tmpl w:val="0E52E332"/>
    <w:lvl w:ilvl="0" w:tplc="080A0019">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30F0EB7"/>
    <w:multiLevelType w:val="hybridMultilevel"/>
    <w:tmpl w:val="6B4845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E935568"/>
    <w:multiLevelType w:val="hybridMultilevel"/>
    <w:tmpl w:val="95B6F2E0"/>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0A947CF"/>
    <w:multiLevelType w:val="hybridMultilevel"/>
    <w:tmpl w:val="084CA294"/>
    <w:lvl w:ilvl="0" w:tplc="1BA009A8">
      <w:numFmt w:val="bullet"/>
      <w:lvlText w:val="·"/>
      <w:lvlJc w:val="left"/>
      <w:pPr>
        <w:ind w:left="1428" w:hanging="360"/>
      </w:pPr>
      <w:rPr>
        <w:rFonts w:ascii="Palatino Linotype" w:eastAsia="Times New Roman" w:hAnsi="Palatino Linotype" w:cs="Aria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73D50195"/>
    <w:multiLevelType w:val="hybridMultilevel"/>
    <w:tmpl w:val="2CB45D98"/>
    <w:lvl w:ilvl="0" w:tplc="080A0005">
      <w:start w:val="1"/>
      <w:numFmt w:val="bullet"/>
      <w:lvlText w:val=""/>
      <w:lvlJc w:val="left"/>
      <w:pPr>
        <w:ind w:left="720" w:hanging="360"/>
      </w:pPr>
      <w:rPr>
        <w:rFonts w:ascii="Wingdings" w:hAnsi="Wingdings" w:hint="default"/>
      </w:rPr>
    </w:lvl>
    <w:lvl w:ilvl="1" w:tplc="1BA009A8">
      <w:numFmt w:val="bullet"/>
      <w:lvlText w:val="·"/>
      <w:lvlJc w:val="left"/>
      <w:pPr>
        <w:ind w:left="1440" w:hanging="360"/>
      </w:pPr>
      <w:rPr>
        <w:rFonts w:ascii="Palatino Linotype" w:eastAsia="Times New Roman" w:hAnsi="Palatino Linotype"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EE86B48"/>
    <w:multiLevelType w:val="hybridMultilevel"/>
    <w:tmpl w:val="042E931E"/>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num w:numId="1">
    <w:abstractNumId w:val="6"/>
  </w:num>
  <w:num w:numId="2">
    <w:abstractNumId w:val="10"/>
  </w:num>
  <w:num w:numId="3">
    <w:abstractNumId w:val="0"/>
  </w:num>
  <w:num w:numId="4">
    <w:abstractNumId w:val="13"/>
  </w:num>
  <w:num w:numId="5">
    <w:abstractNumId w:val="11"/>
  </w:num>
  <w:num w:numId="6">
    <w:abstractNumId w:val="1"/>
  </w:num>
  <w:num w:numId="7">
    <w:abstractNumId w:val="8"/>
  </w:num>
  <w:num w:numId="8">
    <w:abstractNumId w:val="3"/>
  </w:num>
  <w:num w:numId="9">
    <w:abstractNumId w:val="9"/>
  </w:num>
  <w:num w:numId="10">
    <w:abstractNumId w:val="2"/>
  </w:num>
  <w:num w:numId="11">
    <w:abstractNumId w:val="5"/>
  </w:num>
  <w:num w:numId="12">
    <w:abstractNumId w:val="7"/>
  </w:num>
  <w:num w:numId="13">
    <w:abstractNumId w:val="12"/>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7BA"/>
    <w:rsid w:val="00001964"/>
    <w:rsid w:val="00001CB1"/>
    <w:rsid w:val="000248FB"/>
    <w:rsid w:val="0003107A"/>
    <w:rsid w:val="0003343B"/>
    <w:rsid w:val="000466FC"/>
    <w:rsid w:val="00057319"/>
    <w:rsid w:val="000607BA"/>
    <w:rsid w:val="000906EA"/>
    <w:rsid w:val="000B44A7"/>
    <w:rsid w:val="000C74C1"/>
    <w:rsid w:val="000C7E12"/>
    <w:rsid w:val="00155046"/>
    <w:rsid w:val="00156565"/>
    <w:rsid w:val="00163914"/>
    <w:rsid w:val="0016412C"/>
    <w:rsid w:val="001714A3"/>
    <w:rsid w:val="001822F4"/>
    <w:rsid w:val="001878F3"/>
    <w:rsid w:val="001A79D0"/>
    <w:rsid w:val="001C55E5"/>
    <w:rsid w:val="001D6690"/>
    <w:rsid w:val="001E420C"/>
    <w:rsid w:val="001F2673"/>
    <w:rsid w:val="001F6B13"/>
    <w:rsid w:val="00201D65"/>
    <w:rsid w:val="00224C8E"/>
    <w:rsid w:val="00226192"/>
    <w:rsid w:val="0023194F"/>
    <w:rsid w:val="00245DCD"/>
    <w:rsid w:val="00246920"/>
    <w:rsid w:val="002501C9"/>
    <w:rsid w:val="002634B7"/>
    <w:rsid w:val="00265A6C"/>
    <w:rsid w:val="00280FB1"/>
    <w:rsid w:val="00292D40"/>
    <w:rsid w:val="00293BB5"/>
    <w:rsid w:val="002A5ADD"/>
    <w:rsid w:val="002A6359"/>
    <w:rsid w:val="002B42FC"/>
    <w:rsid w:val="002C1384"/>
    <w:rsid w:val="002F6CCA"/>
    <w:rsid w:val="00307361"/>
    <w:rsid w:val="00311D54"/>
    <w:rsid w:val="00325DE6"/>
    <w:rsid w:val="00335B29"/>
    <w:rsid w:val="0035130D"/>
    <w:rsid w:val="0035237C"/>
    <w:rsid w:val="00365320"/>
    <w:rsid w:val="003705F5"/>
    <w:rsid w:val="00374D2E"/>
    <w:rsid w:val="003843F6"/>
    <w:rsid w:val="00394F30"/>
    <w:rsid w:val="003A1596"/>
    <w:rsid w:val="003A425E"/>
    <w:rsid w:val="003D2E6F"/>
    <w:rsid w:val="003D7DFD"/>
    <w:rsid w:val="003E5BF7"/>
    <w:rsid w:val="003E6DC4"/>
    <w:rsid w:val="003F066F"/>
    <w:rsid w:val="00400E07"/>
    <w:rsid w:val="004430F0"/>
    <w:rsid w:val="0044634E"/>
    <w:rsid w:val="00451E96"/>
    <w:rsid w:val="00453622"/>
    <w:rsid w:val="00456467"/>
    <w:rsid w:val="00475CF8"/>
    <w:rsid w:val="0048681D"/>
    <w:rsid w:val="004A6501"/>
    <w:rsid w:val="004F1D60"/>
    <w:rsid w:val="004F491E"/>
    <w:rsid w:val="00505F5A"/>
    <w:rsid w:val="00510049"/>
    <w:rsid w:val="005220CF"/>
    <w:rsid w:val="00536284"/>
    <w:rsid w:val="005375F9"/>
    <w:rsid w:val="0054091C"/>
    <w:rsid w:val="00544D60"/>
    <w:rsid w:val="005549ED"/>
    <w:rsid w:val="005626A1"/>
    <w:rsid w:val="00564B1C"/>
    <w:rsid w:val="005677B5"/>
    <w:rsid w:val="005725FE"/>
    <w:rsid w:val="005777C1"/>
    <w:rsid w:val="005B169F"/>
    <w:rsid w:val="005D08F4"/>
    <w:rsid w:val="005D412A"/>
    <w:rsid w:val="005D6207"/>
    <w:rsid w:val="005E77FA"/>
    <w:rsid w:val="005F4C0C"/>
    <w:rsid w:val="005F5C37"/>
    <w:rsid w:val="00602FA0"/>
    <w:rsid w:val="00603DF9"/>
    <w:rsid w:val="00612D0D"/>
    <w:rsid w:val="00614D14"/>
    <w:rsid w:val="006214D7"/>
    <w:rsid w:val="00633F64"/>
    <w:rsid w:val="006B598B"/>
    <w:rsid w:val="006C34A1"/>
    <w:rsid w:val="006C470E"/>
    <w:rsid w:val="006E048C"/>
    <w:rsid w:val="006E3EC4"/>
    <w:rsid w:val="006F1D5F"/>
    <w:rsid w:val="006F1F79"/>
    <w:rsid w:val="006F346D"/>
    <w:rsid w:val="006F79E5"/>
    <w:rsid w:val="00721EE2"/>
    <w:rsid w:val="0074097B"/>
    <w:rsid w:val="00773997"/>
    <w:rsid w:val="00786492"/>
    <w:rsid w:val="007941AA"/>
    <w:rsid w:val="007A42B3"/>
    <w:rsid w:val="007B0AC3"/>
    <w:rsid w:val="007B6EE5"/>
    <w:rsid w:val="007D16D4"/>
    <w:rsid w:val="007E75F7"/>
    <w:rsid w:val="007F5174"/>
    <w:rsid w:val="008078E7"/>
    <w:rsid w:val="008110D1"/>
    <w:rsid w:val="00826C5D"/>
    <w:rsid w:val="00832023"/>
    <w:rsid w:val="008503F5"/>
    <w:rsid w:val="00851C53"/>
    <w:rsid w:val="008624F5"/>
    <w:rsid w:val="00870CDA"/>
    <w:rsid w:val="00872B6F"/>
    <w:rsid w:val="00877519"/>
    <w:rsid w:val="00886E1B"/>
    <w:rsid w:val="00887D4E"/>
    <w:rsid w:val="00892DF4"/>
    <w:rsid w:val="00897E24"/>
    <w:rsid w:val="008A4206"/>
    <w:rsid w:val="008A61E6"/>
    <w:rsid w:val="008E7B8D"/>
    <w:rsid w:val="009016C0"/>
    <w:rsid w:val="00907451"/>
    <w:rsid w:val="009107C3"/>
    <w:rsid w:val="009175A1"/>
    <w:rsid w:val="00936FC7"/>
    <w:rsid w:val="00956FEF"/>
    <w:rsid w:val="009611D3"/>
    <w:rsid w:val="00961991"/>
    <w:rsid w:val="0096627E"/>
    <w:rsid w:val="009820BB"/>
    <w:rsid w:val="009A4E4E"/>
    <w:rsid w:val="009C140C"/>
    <w:rsid w:val="009F7F20"/>
    <w:rsid w:val="00A01E1E"/>
    <w:rsid w:val="00A030E7"/>
    <w:rsid w:val="00A21005"/>
    <w:rsid w:val="00A275F3"/>
    <w:rsid w:val="00A3220C"/>
    <w:rsid w:val="00A43EC4"/>
    <w:rsid w:val="00A6063F"/>
    <w:rsid w:val="00A62E74"/>
    <w:rsid w:val="00A7185E"/>
    <w:rsid w:val="00A930C2"/>
    <w:rsid w:val="00AA1706"/>
    <w:rsid w:val="00AA6F6A"/>
    <w:rsid w:val="00AB2EB4"/>
    <w:rsid w:val="00AD073A"/>
    <w:rsid w:val="00AD5A2C"/>
    <w:rsid w:val="00AF2DAB"/>
    <w:rsid w:val="00B02DEB"/>
    <w:rsid w:val="00B15E90"/>
    <w:rsid w:val="00B300D4"/>
    <w:rsid w:val="00B33D79"/>
    <w:rsid w:val="00B438A9"/>
    <w:rsid w:val="00B547F4"/>
    <w:rsid w:val="00B60F3A"/>
    <w:rsid w:val="00B64C32"/>
    <w:rsid w:val="00B64FB9"/>
    <w:rsid w:val="00B84B27"/>
    <w:rsid w:val="00B9035F"/>
    <w:rsid w:val="00B95ED4"/>
    <w:rsid w:val="00BA462E"/>
    <w:rsid w:val="00BD15B7"/>
    <w:rsid w:val="00BD43C9"/>
    <w:rsid w:val="00BD5CB9"/>
    <w:rsid w:val="00BF6238"/>
    <w:rsid w:val="00C3132E"/>
    <w:rsid w:val="00C33457"/>
    <w:rsid w:val="00C44E15"/>
    <w:rsid w:val="00C5160E"/>
    <w:rsid w:val="00C517F0"/>
    <w:rsid w:val="00C90753"/>
    <w:rsid w:val="00C9164A"/>
    <w:rsid w:val="00C94C04"/>
    <w:rsid w:val="00CB04F4"/>
    <w:rsid w:val="00CB7479"/>
    <w:rsid w:val="00CC0564"/>
    <w:rsid w:val="00CD3541"/>
    <w:rsid w:val="00CD3DE8"/>
    <w:rsid w:val="00CF439A"/>
    <w:rsid w:val="00D02432"/>
    <w:rsid w:val="00D20217"/>
    <w:rsid w:val="00D32E4F"/>
    <w:rsid w:val="00D34718"/>
    <w:rsid w:val="00D53061"/>
    <w:rsid w:val="00D55452"/>
    <w:rsid w:val="00D665CE"/>
    <w:rsid w:val="00D673A8"/>
    <w:rsid w:val="00DA32D9"/>
    <w:rsid w:val="00DA5B01"/>
    <w:rsid w:val="00DC752B"/>
    <w:rsid w:val="00DE4B13"/>
    <w:rsid w:val="00DE7A21"/>
    <w:rsid w:val="00DF3CD1"/>
    <w:rsid w:val="00E03023"/>
    <w:rsid w:val="00E20299"/>
    <w:rsid w:val="00E21083"/>
    <w:rsid w:val="00E226B0"/>
    <w:rsid w:val="00E2417A"/>
    <w:rsid w:val="00E30FFD"/>
    <w:rsid w:val="00E33912"/>
    <w:rsid w:val="00E40978"/>
    <w:rsid w:val="00E436D1"/>
    <w:rsid w:val="00E52808"/>
    <w:rsid w:val="00E87EBD"/>
    <w:rsid w:val="00E920D4"/>
    <w:rsid w:val="00EB5C57"/>
    <w:rsid w:val="00ED4243"/>
    <w:rsid w:val="00F24291"/>
    <w:rsid w:val="00F466F2"/>
    <w:rsid w:val="00F52490"/>
    <w:rsid w:val="00F76B05"/>
    <w:rsid w:val="00F84006"/>
    <w:rsid w:val="00F86E81"/>
    <w:rsid w:val="00F97266"/>
    <w:rsid w:val="00FC4B69"/>
    <w:rsid w:val="00FD0A21"/>
    <w:rsid w:val="00FD3336"/>
    <w:rsid w:val="00FE407F"/>
    <w:rsid w:val="00FE4802"/>
    <w:rsid w:val="00FF01C8"/>
    <w:rsid w:val="00FF5561"/>
    <w:rsid w:val="00FF626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85AD5A16-D7B7-4317-B907-D9CEEAE2B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34"/>
    <w:qFormat/>
    <w:rsid w:val="000607B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34"/>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paragraph" w:styleId="Textonotapie">
    <w:name w:val="footnote text"/>
    <w:basedOn w:val="Normal"/>
    <w:link w:val="TextonotapieCar"/>
    <w:uiPriority w:val="99"/>
    <w:semiHidden/>
    <w:unhideWhenUsed/>
    <w:rsid w:val="006B598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B598B"/>
    <w:rPr>
      <w:sz w:val="20"/>
      <w:szCs w:val="20"/>
    </w:rPr>
  </w:style>
  <w:style w:type="character" w:styleId="Refdenotaalpie">
    <w:name w:val="footnote reference"/>
    <w:basedOn w:val="Fuentedeprrafopredeter"/>
    <w:uiPriority w:val="99"/>
    <w:semiHidden/>
    <w:unhideWhenUsed/>
    <w:rsid w:val="006B59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19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6C68B40-C59B-4862-80C3-C7E3771E7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2509</Words>
  <Characters>13804</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2018-12-17T21:04:00Z</cp:lastPrinted>
  <dcterms:created xsi:type="dcterms:W3CDTF">2018-12-14T18:07:00Z</dcterms:created>
  <dcterms:modified xsi:type="dcterms:W3CDTF">2018-12-17T21:13:00Z</dcterms:modified>
</cp:coreProperties>
</file>